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1007C">
      <w:pPr>
        <w:shd w:val="clear" w:color="auto" w:fill="auto"/>
        <w:jc w:val="both"/>
        <w:rPr>
          <w:rFonts w:hint="eastAsia" w:ascii="黑体" w:hAnsi="黑体" w:eastAsia="黑体" w:cs="黑体"/>
          <w:b/>
          <w:bCs/>
          <w:color w:val="auto"/>
          <w:sz w:val="48"/>
          <w:szCs w:val="48"/>
          <w:highlight w:val="none"/>
          <w:lang w:eastAsia="zh-CN"/>
        </w:rPr>
      </w:pPr>
    </w:p>
    <w:p w14:paraId="303F57B9">
      <w:pPr>
        <w:shd w:val="clear" w:color="auto" w:fill="auto"/>
        <w:jc w:val="center"/>
        <w:rPr>
          <w:rFonts w:hint="eastAsia" w:ascii="黑体" w:hAnsi="黑体" w:eastAsia="黑体" w:cs="黑体"/>
          <w:b/>
          <w:bCs/>
          <w:color w:val="auto"/>
          <w:sz w:val="48"/>
          <w:szCs w:val="48"/>
          <w:highlight w:val="none"/>
          <w:lang w:eastAsia="zh-CN"/>
        </w:rPr>
      </w:pPr>
      <w:r>
        <w:rPr>
          <w:rFonts w:hint="eastAsia" w:ascii="黑体" w:hAnsi="黑体" w:eastAsia="黑体" w:cs="黑体"/>
          <w:b/>
          <w:bCs/>
          <w:color w:val="auto"/>
          <w:sz w:val="48"/>
          <w:szCs w:val="48"/>
          <w:highlight w:val="none"/>
          <w:lang w:eastAsia="zh-CN"/>
        </w:rPr>
        <w:t xml:space="preserve">  滨海县人民医院皮肤影像分析仪设备</w:t>
      </w:r>
    </w:p>
    <w:p w14:paraId="2381437D">
      <w:pPr>
        <w:shd w:val="clear" w:color="auto" w:fill="auto"/>
        <w:jc w:val="center"/>
        <w:rPr>
          <w:rFonts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lang w:eastAsia="zh-CN"/>
        </w:rPr>
        <w:t>采购项目（二次）</w:t>
      </w:r>
    </w:p>
    <w:p w14:paraId="2679ECD1">
      <w:pPr>
        <w:shd w:val="clear" w:color="auto" w:fill="auto"/>
        <w:jc w:val="center"/>
        <w:rPr>
          <w:rFonts w:ascii="黑体" w:hAnsi="黑体" w:eastAsia="黑体" w:cs="黑体"/>
          <w:b/>
          <w:bCs/>
          <w:color w:val="auto"/>
          <w:sz w:val="48"/>
          <w:szCs w:val="48"/>
          <w:highlight w:val="none"/>
        </w:rPr>
      </w:pPr>
    </w:p>
    <w:p w14:paraId="1C9386F9">
      <w:pPr>
        <w:shd w:val="clear" w:color="auto" w:fill="auto"/>
        <w:jc w:val="center"/>
        <w:rPr>
          <w:rFonts w:hint="eastAsia" w:ascii="黑体" w:hAnsi="黑体" w:eastAsia="黑体" w:cs="黑体"/>
          <w:b/>
          <w:bCs/>
          <w:color w:val="auto"/>
          <w:sz w:val="32"/>
          <w:szCs w:val="32"/>
          <w:highlight w:val="none"/>
        </w:rPr>
      </w:pPr>
    </w:p>
    <w:p w14:paraId="6025364E">
      <w:pPr>
        <w:shd w:val="clear" w:color="auto" w:fill="auto"/>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en-US" w:eastAsia="zh-CN"/>
        </w:rPr>
        <w:t>项目编号：JSZC-320922-JSHY-G2025-0366</w:t>
      </w:r>
      <w:bookmarkStart w:id="156" w:name="_GoBack"/>
      <w:bookmarkEnd w:id="156"/>
    </w:p>
    <w:p w14:paraId="24C757C0">
      <w:pPr>
        <w:shd w:val="clear" w:color="auto" w:fill="auto"/>
        <w:jc w:val="center"/>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en-US" w:eastAsia="zh-CN"/>
        </w:rPr>
        <w:t>代理机构编号：1009-2541HOLLY46D</w:t>
      </w:r>
    </w:p>
    <w:p w14:paraId="155AFCA3">
      <w:pPr>
        <w:shd w:val="clear" w:color="auto" w:fill="auto"/>
        <w:rPr>
          <w:rFonts w:hint="eastAsia" w:ascii="华文琥珀" w:eastAsia="华文琥珀"/>
          <w:color w:val="auto"/>
          <w:sz w:val="36"/>
          <w:szCs w:val="36"/>
          <w:highlight w:val="none"/>
        </w:rPr>
      </w:pPr>
    </w:p>
    <w:p w14:paraId="02A70A73">
      <w:pPr>
        <w:shd w:val="clear" w:color="auto" w:fill="auto"/>
        <w:jc w:val="center"/>
        <w:rPr>
          <w:rFonts w:hint="eastAsia" w:ascii="方正大标宋简体" w:eastAsia="方正大标宋简体"/>
          <w:b/>
          <w:color w:val="auto"/>
          <w:sz w:val="18"/>
          <w:szCs w:val="18"/>
          <w:highlight w:val="none"/>
        </w:rPr>
      </w:pPr>
    </w:p>
    <w:p w14:paraId="203DC534">
      <w:pPr>
        <w:shd w:val="clear" w:color="auto" w:fill="auto"/>
        <w:jc w:val="center"/>
        <w:rPr>
          <w:rFonts w:hint="eastAsia" w:ascii="方正大标宋简体" w:eastAsia="方正大标宋简体"/>
          <w:b/>
          <w:color w:val="auto"/>
          <w:sz w:val="18"/>
          <w:szCs w:val="18"/>
          <w:highlight w:val="none"/>
        </w:rPr>
      </w:pPr>
    </w:p>
    <w:p w14:paraId="36D5BA3C">
      <w:pPr>
        <w:shd w:val="clear" w:color="auto" w:fill="auto"/>
        <w:jc w:val="center"/>
        <w:rPr>
          <w:rFonts w:hint="eastAsia" w:ascii="方正大标宋简体" w:eastAsia="方正大标宋简体"/>
          <w:b/>
          <w:color w:val="auto"/>
          <w:sz w:val="18"/>
          <w:szCs w:val="18"/>
          <w:highlight w:val="none"/>
        </w:rPr>
      </w:pPr>
    </w:p>
    <w:p w14:paraId="4F3520FC">
      <w:pPr>
        <w:shd w:val="clear" w:color="auto" w:fill="auto"/>
        <w:jc w:val="center"/>
        <w:rPr>
          <w:rFonts w:hint="eastAsia" w:ascii="方正大标宋简体" w:eastAsia="方正大标宋简体"/>
          <w:b/>
          <w:color w:val="auto"/>
          <w:sz w:val="18"/>
          <w:szCs w:val="18"/>
          <w:highlight w:val="none"/>
        </w:rPr>
      </w:pPr>
    </w:p>
    <w:p w14:paraId="30BC46BB">
      <w:pPr>
        <w:shd w:val="clear" w:color="auto" w:fill="auto"/>
        <w:jc w:val="center"/>
        <w:rPr>
          <w:rFonts w:hint="eastAsia" w:ascii="方正大标宋简体" w:eastAsia="方正大标宋简体"/>
          <w:b/>
          <w:color w:val="auto"/>
          <w:sz w:val="18"/>
          <w:szCs w:val="18"/>
          <w:highlight w:val="none"/>
        </w:rPr>
      </w:pPr>
    </w:p>
    <w:p w14:paraId="633490A4">
      <w:pPr>
        <w:shd w:val="clear" w:color="auto" w:fill="auto"/>
        <w:jc w:val="center"/>
        <w:rPr>
          <w:rFonts w:hint="eastAsia" w:ascii="黑体" w:eastAsia="黑体"/>
          <w:color w:val="auto"/>
          <w:sz w:val="82"/>
          <w:szCs w:val="72"/>
          <w:highlight w:val="none"/>
        </w:rPr>
      </w:pPr>
      <w:r>
        <w:rPr>
          <w:rFonts w:hint="eastAsia" w:ascii="黑体" w:eastAsia="黑体"/>
          <w:color w:val="auto"/>
          <w:sz w:val="82"/>
          <w:szCs w:val="72"/>
          <w:highlight w:val="none"/>
        </w:rPr>
        <w:t>招  标  文  件</w:t>
      </w:r>
    </w:p>
    <w:p w14:paraId="32F8E924">
      <w:pPr>
        <w:shd w:val="clear" w:color="auto" w:fill="auto"/>
        <w:spacing w:line="500" w:lineRule="exact"/>
        <w:ind w:firstLine="1980"/>
        <w:jc w:val="left"/>
        <w:rPr>
          <w:rFonts w:hint="eastAsia" w:ascii="华文楷体" w:eastAsia="华文楷体"/>
          <w:color w:val="auto"/>
          <w:sz w:val="36"/>
          <w:szCs w:val="36"/>
          <w:highlight w:val="none"/>
        </w:rPr>
      </w:pPr>
    </w:p>
    <w:p w14:paraId="516311B3">
      <w:pPr>
        <w:shd w:val="clear" w:color="auto" w:fill="auto"/>
        <w:spacing w:line="500" w:lineRule="exact"/>
        <w:ind w:firstLine="1980"/>
        <w:jc w:val="left"/>
        <w:rPr>
          <w:rFonts w:hint="eastAsia" w:ascii="华文楷体" w:eastAsia="华文楷体"/>
          <w:color w:val="auto"/>
          <w:sz w:val="36"/>
          <w:szCs w:val="36"/>
          <w:highlight w:val="none"/>
        </w:rPr>
      </w:pPr>
    </w:p>
    <w:p w14:paraId="24C6D90C">
      <w:pPr>
        <w:shd w:val="clear" w:color="auto" w:fill="auto"/>
        <w:spacing w:line="500" w:lineRule="exact"/>
        <w:jc w:val="left"/>
        <w:rPr>
          <w:rFonts w:hint="eastAsia" w:ascii="华文楷体" w:eastAsia="华文楷体"/>
          <w:color w:val="auto"/>
          <w:sz w:val="36"/>
          <w:szCs w:val="36"/>
          <w:highlight w:val="none"/>
        </w:rPr>
      </w:pPr>
    </w:p>
    <w:p w14:paraId="07EED7CE">
      <w:pPr>
        <w:shd w:val="clear" w:color="auto" w:fill="auto"/>
        <w:rPr>
          <w:rFonts w:hint="eastAsia"/>
          <w:color w:val="auto"/>
          <w:highlight w:val="none"/>
        </w:rPr>
      </w:pPr>
    </w:p>
    <w:p w14:paraId="2D2CE5B3">
      <w:pPr>
        <w:shd w:val="clear" w:color="auto" w:fill="auto"/>
        <w:rPr>
          <w:rFonts w:hint="eastAsia"/>
          <w:color w:val="auto"/>
          <w:highlight w:val="none"/>
        </w:rPr>
      </w:pPr>
    </w:p>
    <w:p w14:paraId="51719852">
      <w:pPr>
        <w:shd w:val="clear" w:color="auto" w:fill="auto"/>
        <w:rPr>
          <w:color w:val="auto"/>
          <w:highlight w:val="none"/>
        </w:rPr>
      </w:pPr>
    </w:p>
    <w:p w14:paraId="73D65BC6">
      <w:pPr>
        <w:shd w:val="clear" w:color="auto" w:fill="auto"/>
        <w:rPr>
          <w:color w:val="auto"/>
          <w:highlight w:val="none"/>
        </w:rPr>
      </w:pPr>
    </w:p>
    <w:p w14:paraId="0F5CC01E">
      <w:pPr>
        <w:shd w:val="clear" w:color="auto" w:fill="auto"/>
        <w:rPr>
          <w:rFonts w:hint="eastAsia"/>
          <w:color w:val="auto"/>
          <w:highlight w:val="none"/>
        </w:rPr>
      </w:pPr>
    </w:p>
    <w:p w14:paraId="3F5920A7">
      <w:pPr>
        <w:shd w:val="clear" w:color="auto" w:fill="auto"/>
        <w:rPr>
          <w:rFonts w:hint="eastAsia"/>
          <w:color w:val="auto"/>
          <w:highlight w:val="none"/>
        </w:rPr>
      </w:pPr>
    </w:p>
    <w:tbl>
      <w:tblPr>
        <w:tblStyle w:val="31"/>
        <w:tblW w:w="0" w:type="auto"/>
        <w:jc w:val="center"/>
        <w:tblLayout w:type="fixed"/>
        <w:tblCellMar>
          <w:top w:w="0" w:type="dxa"/>
          <w:left w:w="108" w:type="dxa"/>
          <w:bottom w:w="0" w:type="dxa"/>
          <w:right w:w="108" w:type="dxa"/>
        </w:tblCellMar>
      </w:tblPr>
      <w:tblGrid>
        <w:gridCol w:w="2509"/>
        <w:gridCol w:w="5293"/>
      </w:tblGrid>
      <w:tr w14:paraId="5CF55CEF">
        <w:trPr>
          <w:jc w:val="center"/>
        </w:trPr>
        <w:tc>
          <w:tcPr>
            <w:tcW w:w="2509" w:type="dxa"/>
            <w:tcBorders>
              <w:top w:val="nil"/>
              <w:left w:val="nil"/>
              <w:bottom w:val="nil"/>
              <w:right w:val="nil"/>
            </w:tcBorders>
            <w:noWrap w:val="0"/>
            <w:vAlign w:val="top"/>
          </w:tcPr>
          <w:p w14:paraId="5D2296FB">
            <w:pPr>
              <w:shd w:val="clear" w:color="auto" w:fill="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采购人：</w:t>
            </w:r>
          </w:p>
        </w:tc>
        <w:tc>
          <w:tcPr>
            <w:tcW w:w="5293" w:type="dxa"/>
            <w:tcBorders>
              <w:top w:val="nil"/>
              <w:left w:val="nil"/>
              <w:bottom w:val="nil"/>
              <w:right w:val="nil"/>
            </w:tcBorders>
            <w:noWrap w:val="0"/>
            <w:vAlign w:val="top"/>
          </w:tcPr>
          <w:p w14:paraId="4F8371B9">
            <w:pPr>
              <w:shd w:val="clear" w:color="auto" w:fill="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滨海县人民医院</w:t>
            </w:r>
          </w:p>
        </w:tc>
      </w:tr>
      <w:tr w14:paraId="0AE58030">
        <w:tblPrEx>
          <w:tblCellMar>
            <w:top w:w="0" w:type="dxa"/>
            <w:left w:w="108" w:type="dxa"/>
            <w:bottom w:w="0" w:type="dxa"/>
            <w:right w:w="108" w:type="dxa"/>
          </w:tblCellMar>
        </w:tblPrEx>
        <w:trPr>
          <w:jc w:val="center"/>
        </w:trPr>
        <w:tc>
          <w:tcPr>
            <w:tcW w:w="2509" w:type="dxa"/>
            <w:tcBorders>
              <w:top w:val="nil"/>
              <w:left w:val="nil"/>
              <w:bottom w:val="nil"/>
              <w:right w:val="nil"/>
            </w:tcBorders>
            <w:noWrap w:val="0"/>
            <w:vAlign w:val="top"/>
          </w:tcPr>
          <w:p w14:paraId="1F87C185">
            <w:pPr>
              <w:shd w:val="clear" w:color="auto" w:fill="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采购代理机构：</w:t>
            </w:r>
          </w:p>
        </w:tc>
        <w:tc>
          <w:tcPr>
            <w:tcW w:w="5293" w:type="dxa"/>
            <w:tcBorders>
              <w:top w:val="nil"/>
              <w:left w:val="nil"/>
              <w:bottom w:val="nil"/>
              <w:right w:val="nil"/>
            </w:tcBorders>
            <w:noWrap w:val="0"/>
            <w:vAlign w:val="top"/>
          </w:tcPr>
          <w:p w14:paraId="1B0CB9DD">
            <w:pPr>
              <w:shd w:val="clear" w:color="auto" w:fill="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江苏弘业国际技术工程有限公司</w:t>
            </w:r>
          </w:p>
        </w:tc>
      </w:tr>
      <w:tr w14:paraId="0958C6A5">
        <w:tblPrEx>
          <w:tblCellMar>
            <w:top w:w="0" w:type="dxa"/>
            <w:left w:w="108" w:type="dxa"/>
            <w:bottom w:w="0" w:type="dxa"/>
            <w:right w:w="108" w:type="dxa"/>
          </w:tblCellMar>
        </w:tblPrEx>
        <w:trPr>
          <w:jc w:val="center"/>
        </w:trPr>
        <w:tc>
          <w:tcPr>
            <w:tcW w:w="2509" w:type="dxa"/>
            <w:tcBorders>
              <w:top w:val="nil"/>
              <w:left w:val="nil"/>
              <w:bottom w:val="nil"/>
              <w:right w:val="nil"/>
            </w:tcBorders>
            <w:noWrap w:val="0"/>
            <w:vAlign w:val="top"/>
          </w:tcPr>
          <w:p w14:paraId="1265DA57">
            <w:pPr>
              <w:shd w:val="clear" w:color="auto" w:fill="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日  期：</w:t>
            </w:r>
          </w:p>
        </w:tc>
        <w:tc>
          <w:tcPr>
            <w:tcW w:w="5293" w:type="dxa"/>
            <w:tcBorders>
              <w:top w:val="nil"/>
              <w:left w:val="nil"/>
              <w:bottom w:val="nil"/>
              <w:right w:val="nil"/>
            </w:tcBorders>
            <w:noWrap w:val="0"/>
            <w:vAlign w:val="top"/>
          </w:tcPr>
          <w:p w14:paraId="2C08C1B8">
            <w:pPr>
              <w:shd w:val="clear" w:color="auto" w:fill="auto"/>
              <w:rPr>
                <w:rFonts w:hint="eastAsia" w:ascii="黑体" w:hAnsi="黑体" w:eastAsia="黑体" w:cs="黑体"/>
                <w:b/>
                <w:bCs/>
                <w:color w:val="auto"/>
                <w:sz w:val="32"/>
                <w:szCs w:val="32"/>
                <w:highlight w:val="none"/>
              </w:rPr>
            </w:pPr>
            <w:bookmarkStart w:id="0" w:name="EB011e21966a4746ceac4488705cfdd813"/>
            <w:r>
              <w:rPr>
                <w:rFonts w:hint="eastAsia" w:ascii="黑体" w:hAnsi="黑体" w:eastAsia="黑体" w:cs="黑体"/>
                <w:b/>
                <w:bCs/>
                <w:color w:val="auto"/>
                <w:sz w:val="32"/>
                <w:szCs w:val="32"/>
                <w:highlight w:val="none"/>
              </w:rPr>
              <w:t>202</w:t>
            </w:r>
            <w:r>
              <w:rPr>
                <w:rFonts w:hint="eastAsia" w:ascii="黑体" w:hAnsi="黑体" w:eastAsia="黑体" w:cs="黑体"/>
                <w:b/>
                <w:bCs/>
                <w:color w:val="auto"/>
                <w:sz w:val="32"/>
                <w:szCs w:val="32"/>
                <w:highlight w:val="none"/>
                <w:lang w:val="en-US" w:eastAsia="zh-CN"/>
              </w:rPr>
              <w:t>5</w:t>
            </w:r>
            <w:r>
              <w:rPr>
                <w:rFonts w:hint="eastAsia" w:ascii="黑体" w:hAnsi="黑体" w:eastAsia="黑体" w:cs="黑体"/>
                <w:b/>
                <w:bCs/>
                <w:color w:val="auto"/>
                <w:sz w:val="32"/>
                <w:szCs w:val="32"/>
                <w:highlight w:val="none"/>
              </w:rPr>
              <w:t>年</w:t>
            </w:r>
            <w:r>
              <w:rPr>
                <w:rFonts w:hint="eastAsia" w:ascii="黑体" w:hAnsi="黑体" w:eastAsia="黑体" w:cs="黑体"/>
                <w:b/>
                <w:bCs/>
                <w:color w:val="auto"/>
                <w:sz w:val="32"/>
                <w:szCs w:val="32"/>
                <w:highlight w:val="none"/>
                <w:lang w:val="en-US" w:eastAsia="zh-CN"/>
              </w:rPr>
              <w:t>10</w:t>
            </w:r>
            <w:r>
              <w:rPr>
                <w:rFonts w:hint="eastAsia" w:ascii="黑体" w:hAnsi="黑体" w:eastAsia="黑体" w:cs="黑体"/>
                <w:b/>
                <w:bCs/>
                <w:color w:val="auto"/>
                <w:sz w:val="32"/>
                <w:szCs w:val="32"/>
                <w:highlight w:val="none"/>
              </w:rPr>
              <w:t>月</w:t>
            </w:r>
            <w:bookmarkEnd w:id="0"/>
          </w:p>
        </w:tc>
      </w:tr>
    </w:tbl>
    <w:p w14:paraId="2E26AF04">
      <w:pPr>
        <w:shd w:val="clear" w:color="auto" w:fill="auto"/>
        <w:rPr>
          <w:rFonts w:hint="eastAsia"/>
          <w:color w:val="auto"/>
          <w:highlight w:val="none"/>
        </w:rPr>
      </w:pPr>
    </w:p>
    <w:p w14:paraId="25C98264">
      <w:pPr>
        <w:shd w:val="clear" w:color="auto" w:fill="auto"/>
        <w:rPr>
          <w:rFonts w:hint="eastAsia"/>
          <w:color w:val="auto"/>
          <w:highlight w:val="none"/>
        </w:rPr>
      </w:pPr>
    </w:p>
    <w:p w14:paraId="61262E7F">
      <w:pPr>
        <w:shd w:val="clear" w:color="auto" w:fill="auto"/>
        <w:rPr>
          <w:rFonts w:hint="eastAsia"/>
          <w:color w:val="auto"/>
          <w:highlight w:val="none"/>
        </w:rPr>
      </w:pPr>
    </w:p>
    <w:p w14:paraId="64C8D847">
      <w:pPr>
        <w:shd w:val="clear" w:color="auto" w:fill="auto"/>
        <w:rPr>
          <w:rFonts w:hint="eastAsia"/>
          <w:color w:val="auto"/>
          <w:highlight w:val="none"/>
        </w:rPr>
      </w:pPr>
    </w:p>
    <w:p w14:paraId="71773BD2">
      <w:pPr>
        <w:shd w:val="clear" w:color="auto" w:fill="auto"/>
        <w:rPr>
          <w:rFonts w:hint="eastAsia"/>
          <w:color w:val="auto"/>
          <w:highlight w:val="none"/>
        </w:rPr>
      </w:pPr>
    </w:p>
    <w:p w14:paraId="70083AC2">
      <w:pPr>
        <w:shd w:val="clear" w:color="auto" w:fill="auto"/>
        <w:rPr>
          <w:rFonts w:hint="eastAsia"/>
          <w:color w:val="auto"/>
          <w:highlight w:val="none"/>
        </w:rPr>
      </w:pPr>
    </w:p>
    <w:p w14:paraId="68CD7C4B">
      <w:pPr>
        <w:shd w:val="clear" w:color="auto" w:fill="auto"/>
        <w:rPr>
          <w:rFonts w:hint="eastAsia"/>
          <w:color w:val="auto"/>
          <w:highlight w:val="none"/>
        </w:rPr>
      </w:pPr>
    </w:p>
    <w:p w14:paraId="09E4B16C">
      <w:pPr>
        <w:shd w:val="clear" w:color="auto" w:fill="auto"/>
        <w:rPr>
          <w:rFonts w:hint="eastAsia"/>
          <w:color w:val="auto"/>
          <w:highlight w:val="none"/>
        </w:rPr>
      </w:pPr>
    </w:p>
    <w:p w14:paraId="262A276E">
      <w:pPr>
        <w:shd w:val="clear" w:color="auto" w:fill="auto"/>
        <w:rPr>
          <w:rFonts w:hint="eastAsia"/>
          <w:color w:val="auto"/>
          <w:highlight w:val="none"/>
        </w:rPr>
      </w:pPr>
    </w:p>
    <w:p w14:paraId="4838C216">
      <w:pPr>
        <w:shd w:val="clear" w:color="auto" w:fill="auto"/>
        <w:rPr>
          <w:rFonts w:hint="eastAsia"/>
          <w:color w:val="auto"/>
          <w:highlight w:val="none"/>
        </w:rPr>
      </w:pPr>
    </w:p>
    <w:p w14:paraId="0BA9CD13">
      <w:pPr>
        <w:shd w:val="clear" w:color="auto" w:fill="auto"/>
        <w:rPr>
          <w:rFonts w:hint="eastAsia"/>
          <w:color w:val="auto"/>
          <w:highlight w:val="none"/>
        </w:rPr>
      </w:pPr>
    </w:p>
    <w:p w14:paraId="1C72004E">
      <w:pPr>
        <w:shd w:val="clear" w:color="auto" w:fill="auto"/>
        <w:rPr>
          <w:rFonts w:hint="eastAsia"/>
          <w:color w:val="auto"/>
          <w:highlight w:val="none"/>
        </w:rPr>
      </w:pPr>
    </w:p>
    <w:p w14:paraId="52EC8100">
      <w:pPr>
        <w:shd w:val="clear" w:color="auto" w:fill="auto"/>
        <w:rPr>
          <w:rFonts w:hint="eastAsia"/>
          <w:color w:val="auto"/>
          <w:highlight w:val="none"/>
        </w:rPr>
      </w:pPr>
    </w:p>
    <w:p w14:paraId="7CD5BFE6">
      <w:pPr>
        <w:shd w:val="clear" w:color="auto" w:fill="auto"/>
        <w:rPr>
          <w:rFonts w:hint="eastAsia"/>
          <w:color w:val="auto"/>
          <w:highlight w:val="none"/>
        </w:rPr>
      </w:pPr>
    </w:p>
    <w:p w14:paraId="38B43437">
      <w:pPr>
        <w:shd w:val="clear" w:color="auto" w:fill="auto"/>
        <w:rPr>
          <w:rFonts w:hint="eastAsia"/>
          <w:color w:val="auto"/>
          <w:highlight w:val="none"/>
        </w:rPr>
      </w:pPr>
    </w:p>
    <w:p w14:paraId="2D6DF9E5">
      <w:pPr>
        <w:pStyle w:val="211"/>
        <w:shd w:val="clear" w:color="auto" w:fill="auto"/>
        <w:tabs>
          <w:tab w:val="left" w:pos="6527"/>
        </w:tabs>
        <w:rPr>
          <w:rFonts w:hint="eastAsia"/>
          <w:color w:val="auto"/>
          <w:highlight w:val="none"/>
        </w:rPr>
      </w:pPr>
      <w:bookmarkStart w:id="1" w:name="EB06f4f849a067447382c5c19bd1747a07"/>
      <w:r>
        <w:rPr>
          <w:rFonts w:hint="eastAsia"/>
          <w:color w:val="auto"/>
          <w:sz w:val="20"/>
          <w:highlight w:val="none"/>
        </w:rPr>
        <w:t xml:space="preserve"> </w:t>
      </w:r>
      <w:bookmarkEnd w:id="1"/>
      <w:r>
        <w:rPr>
          <w:rFonts w:hint="eastAsia"/>
          <w:color w:val="auto"/>
          <w:highlight w:val="none"/>
        </w:rPr>
        <w:tab/>
      </w:r>
    </w:p>
    <w:p w14:paraId="0F8A6CE1">
      <w:pPr>
        <w:shd w:val="clear" w:color="auto" w:fill="auto"/>
        <w:jc w:val="center"/>
        <w:rPr>
          <w:rFonts w:hint="eastAsia" w:eastAsia="仿宋_GB2312"/>
          <w:color w:val="auto"/>
          <w:highlight w:val="none"/>
        </w:rPr>
      </w:pPr>
      <w:r>
        <w:rPr>
          <w:rFonts w:ascii="宋体" w:hAnsi="宋体"/>
          <w:b/>
          <w:bCs/>
          <w:color w:val="auto"/>
          <w:sz w:val="24"/>
          <w:szCs w:val="28"/>
          <w:highlight w:val="none"/>
        </w:rPr>
        <w:t>目</w:t>
      </w:r>
      <w:r>
        <w:rPr>
          <w:rFonts w:hint="eastAsia" w:ascii="宋体" w:hAnsi="宋体"/>
          <w:b/>
          <w:bCs/>
          <w:color w:val="auto"/>
          <w:sz w:val="24"/>
          <w:szCs w:val="28"/>
          <w:highlight w:val="none"/>
          <w:lang w:val="en-US" w:eastAsia="zh-CN"/>
        </w:rPr>
        <w:t xml:space="preserve">  </w:t>
      </w:r>
      <w:r>
        <w:rPr>
          <w:rFonts w:ascii="宋体" w:hAnsi="宋体"/>
          <w:b/>
          <w:bCs/>
          <w:color w:val="auto"/>
          <w:sz w:val="24"/>
          <w:szCs w:val="28"/>
          <w:highlight w:val="none"/>
        </w:rPr>
        <w:t>录</w:t>
      </w:r>
    </w:p>
    <w:p w14:paraId="2C92B829">
      <w:pPr>
        <w:pStyle w:val="354"/>
        <w:shd w:val="clear" w:color="auto" w:fill="auto"/>
        <w:tabs>
          <w:tab w:val="right" w:leader="dot" w:pos="8844"/>
        </w:tabs>
        <w:spacing w:line="440" w:lineRule="exact"/>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_Toc14268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第一部分  招标公告</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_Toc14268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b/>
          <w:color w:val="auto"/>
          <w:sz w:val="24"/>
          <w:szCs w:val="24"/>
          <w:highlight w:val="none"/>
        </w:rPr>
        <w:fldChar w:fldCharType="end"/>
      </w:r>
    </w:p>
    <w:p w14:paraId="68B995C6">
      <w:pPr>
        <w:pStyle w:val="354"/>
        <w:shd w:val="clear" w:color="auto" w:fill="auto"/>
        <w:tabs>
          <w:tab w:val="right" w:leader="dot" w:pos="8844"/>
        </w:tabs>
        <w:spacing w:line="440" w:lineRule="exact"/>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_Toc1881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第二部分  投标人须知</w:t>
      </w:r>
      <w:r>
        <w:rPr>
          <w:rFonts w:hint="eastAsia" w:ascii="宋体" w:hAnsi="宋体" w:cs="宋体"/>
          <w:b/>
          <w:color w:val="auto"/>
          <w:sz w:val="24"/>
          <w:szCs w:val="24"/>
          <w:highlight w:val="none"/>
        </w:rPr>
        <w:tab/>
      </w:r>
      <w:r>
        <w:rPr>
          <w:rFonts w:hint="eastAsia" w:ascii="宋体" w:hAnsi="宋体" w:cs="宋体"/>
          <w:color w:val="auto"/>
          <w:sz w:val="24"/>
          <w:szCs w:val="24"/>
          <w:highlight w:val="none"/>
          <w:lang w:val="en-US" w:eastAsia="zh-CN"/>
        </w:rPr>
        <w:t>8</w:t>
      </w:r>
      <w:r>
        <w:rPr>
          <w:rFonts w:hint="eastAsia" w:ascii="宋体" w:hAnsi="宋体" w:cs="宋体"/>
          <w:b/>
          <w:color w:val="auto"/>
          <w:sz w:val="24"/>
          <w:szCs w:val="24"/>
          <w:highlight w:val="none"/>
        </w:rPr>
        <w:fldChar w:fldCharType="end"/>
      </w:r>
    </w:p>
    <w:p w14:paraId="1CED608B">
      <w:pPr>
        <w:pStyle w:val="354"/>
        <w:shd w:val="clear" w:color="auto" w:fill="auto"/>
        <w:tabs>
          <w:tab w:val="right" w:leader="dot" w:pos="8844"/>
        </w:tabs>
        <w:spacing w:line="440" w:lineRule="exact"/>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_Toc22015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第三部分  评标方法和标准</w:t>
      </w:r>
      <w:r>
        <w:rPr>
          <w:rFonts w:hint="eastAsia" w:ascii="宋体" w:hAnsi="宋体" w:cs="宋体"/>
          <w:b/>
          <w:color w:val="auto"/>
          <w:sz w:val="24"/>
          <w:szCs w:val="24"/>
          <w:highlight w:val="none"/>
        </w:rPr>
        <w:tab/>
      </w:r>
      <w:r>
        <w:rPr>
          <w:rFonts w:hint="eastAsia" w:ascii="宋体" w:hAnsi="宋体" w:cs="宋体"/>
          <w:color w:val="auto"/>
          <w:sz w:val="24"/>
          <w:szCs w:val="24"/>
          <w:highlight w:val="none"/>
          <w:lang w:val="en-US" w:eastAsia="zh-CN"/>
        </w:rPr>
        <w:t>2</w:t>
      </w:r>
      <w:r>
        <w:rPr>
          <w:rFonts w:hint="eastAsia" w:ascii="宋体" w:hAnsi="宋体" w:cs="宋体"/>
          <w:b/>
          <w:color w:val="auto"/>
          <w:sz w:val="24"/>
          <w:szCs w:val="24"/>
          <w:highlight w:val="none"/>
        </w:rPr>
        <w:fldChar w:fldCharType="end"/>
      </w:r>
      <w:r>
        <w:rPr>
          <w:rFonts w:hint="eastAsia" w:ascii="宋体" w:hAnsi="宋体" w:cs="宋体"/>
          <w:b w:val="0"/>
          <w:bCs/>
          <w:color w:val="auto"/>
          <w:sz w:val="24"/>
          <w:szCs w:val="24"/>
          <w:highlight w:val="none"/>
          <w:lang w:val="en-US" w:eastAsia="zh-CN"/>
        </w:rPr>
        <w:t>5</w:t>
      </w:r>
    </w:p>
    <w:p w14:paraId="750B6D38">
      <w:pPr>
        <w:pStyle w:val="354"/>
        <w:shd w:val="clear" w:color="auto" w:fill="auto"/>
        <w:tabs>
          <w:tab w:val="right" w:leader="dot" w:pos="8844"/>
        </w:tabs>
        <w:spacing w:line="440" w:lineRule="exact"/>
        <w:jc w:val="center"/>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_Toc1505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第四部分  采购需求</w:t>
      </w:r>
      <w:r>
        <w:rPr>
          <w:rFonts w:hint="eastAsia" w:ascii="宋体" w:hAnsi="宋体" w:cs="宋体"/>
          <w:b/>
          <w:color w:val="auto"/>
          <w:sz w:val="24"/>
          <w:szCs w:val="24"/>
          <w:highlight w:val="none"/>
        </w:rPr>
        <w:tab/>
      </w:r>
      <w:r>
        <w:rPr>
          <w:rFonts w:hint="eastAsia" w:ascii="宋体" w:hAnsi="宋体" w:cs="宋体"/>
          <w:color w:val="auto"/>
          <w:sz w:val="24"/>
          <w:szCs w:val="24"/>
          <w:highlight w:val="none"/>
          <w:lang w:val="en-US" w:eastAsia="zh-CN"/>
        </w:rPr>
        <w:t>3</w:t>
      </w:r>
      <w:r>
        <w:rPr>
          <w:rFonts w:hint="eastAsia" w:ascii="宋体" w:hAnsi="宋体" w:cs="宋体"/>
          <w:b/>
          <w:color w:val="auto"/>
          <w:sz w:val="24"/>
          <w:szCs w:val="24"/>
          <w:highlight w:val="none"/>
        </w:rPr>
        <w:fldChar w:fldCharType="end"/>
      </w:r>
      <w:r>
        <w:rPr>
          <w:rFonts w:hint="eastAsia" w:ascii="宋体" w:hAnsi="宋体" w:cs="宋体"/>
          <w:b w:val="0"/>
          <w:bCs/>
          <w:color w:val="auto"/>
          <w:sz w:val="24"/>
          <w:szCs w:val="24"/>
          <w:highlight w:val="none"/>
          <w:lang w:val="en-US" w:eastAsia="zh-CN"/>
        </w:rPr>
        <w:t>1</w:t>
      </w:r>
    </w:p>
    <w:p w14:paraId="0827854B">
      <w:pPr>
        <w:pStyle w:val="354"/>
        <w:shd w:val="clear" w:color="auto" w:fill="auto"/>
        <w:tabs>
          <w:tab w:val="right" w:leader="dot" w:pos="8844"/>
        </w:tabs>
        <w:spacing w:line="440" w:lineRule="exact"/>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_Toc9306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第五部分  合同格式及条款</w:t>
      </w:r>
      <w:r>
        <w:rPr>
          <w:rFonts w:hint="eastAsia" w:ascii="宋体" w:hAnsi="宋体" w:cs="宋体"/>
          <w:b/>
          <w:color w:val="auto"/>
          <w:sz w:val="24"/>
          <w:szCs w:val="24"/>
          <w:highlight w:val="none"/>
        </w:rPr>
        <w:tab/>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5</w:t>
      </w:r>
    </w:p>
    <w:p w14:paraId="711AB08A">
      <w:pPr>
        <w:pStyle w:val="354"/>
        <w:shd w:val="clear" w:color="auto" w:fill="auto"/>
        <w:tabs>
          <w:tab w:val="right" w:leader="dot" w:pos="8844"/>
        </w:tabs>
        <w:spacing w:line="440" w:lineRule="exact"/>
        <w:jc w:val="center"/>
        <w:rPr>
          <w:rFonts w:ascii="宋体" w:hAnsi="宋体" w:eastAsia="宋体" w:cs="宋体"/>
          <w:b/>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_Toc12366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第六部分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end"/>
      </w:r>
      <w:r>
        <w:rPr>
          <w:rFonts w:hint="eastAsia" w:ascii="宋体" w:hAnsi="宋体" w:cs="宋体"/>
          <w:b w:val="0"/>
          <w:bCs/>
          <w:color w:val="auto"/>
          <w:sz w:val="24"/>
          <w:szCs w:val="24"/>
          <w:highlight w:val="none"/>
          <w:lang w:val="en-US" w:eastAsia="zh-CN"/>
        </w:rPr>
        <w:t>40</w:t>
      </w:r>
    </w:p>
    <w:p w14:paraId="6ACBB70E">
      <w:pPr>
        <w:pStyle w:val="400"/>
        <w:shd w:val="clear" w:color="auto" w:fill="auto"/>
        <w:tabs>
          <w:tab w:val="right" w:leader="dot" w:pos="8844"/>
        </w:tabs>
        <w:spacing w:line="440" w:lineRule="exact"/>
        <w:ind w:left="420"/>
        <w:rPr>
          <w:rFonts w:hint="eastAsia" w:ascii="宋体" w:hAnsi="宋体" w:cs="宋体"/>
          <w:color w:val="auto"/>
          <w:sz w:val="24"/>
          <w:szCs w:val="24"/>
          <w:highlight w:val="none"/>
        </w:rPr>
      </w:pPr>
    </w:p>
    <w:p w14:paraId="1E4C0D0C">
      <w:pPr>
        <w:shd w:val="clear" w:color="auto" w:fill="auto"/>
        <w:tabs>
          <w:tab w:val="left" w:pos="5655"/>
        </w:tabs>
        <w:jc w:val="left"/>
        <w:rPr>
          <w:rFonts w:hint="eastAsia"/>
          <w:color w:val="auto"/>
          <w:highlight w:val="none"/>
        </w:rPr>
      </w:pPr>
      <w:r>
        <w:rPr>
          <w:rFonts w:hint="eastAsia"/>
          <w:color w:val="auto"/>
          <w:highlight w:val="none"/>
        </w:rPr>
        <w:tab/>
      </w:r>
    </w:p>
    <w:p w14:paraId="1E324C3C">
      <w:pPr>
        <w:keepNext/>
        <w:keepLines/>
        <w:pageBreakBefore/>
        <w:shd w:val="clear" w:color="auto" w:fill="auto"/>
        <w:jc w:val="center"/>
        <w:rPr>
          <w:b/>
          <w:color w:val="auto"/>
          <w:sz w:val="32"/>
          <w:highlight w:val="none"/>
        </w:rPr>
      </w:pPr>
      <w:r>
        <w:rPr>
          <w:rFonts w:hint="eastAsia" w:ascii="宋体" w:hAnsi="宋体" w:cs="宋体"/>
          <w:b/>
          <w:color w:val="auto"/>
          <w:sz w:val="24"/>
          <w:szCs w:val="24"/>
          <w:highlight w:val="none"/>
        </w:rPr>
        <w:fldChar w:fldCharType="end"/>
      </w:r>
      <w:bookmarkStart w:id="2" w:name="_Toc14268"/>
      <w:bookmarkStart w:id="3" w:name="_Toc514054470"/>
      <w:r>
        <w:rPr>
          <w:rFonts w:hint="eastAsia"/>
          <w:b/>
          <w:color w:val="auto"/>
          <w:sz w:val="44"/>
          <w:szCs w:val="44"/>
          <w:highlight w:val="none"/>
        </w:rPr>
        <w:t>第一部分  招标公告</w:t>
      </w:r>
      <w:bookmarkEnd w:id="2"/>
      <w:bookmarkEnd w:id="3"/>
    </w:p>
    <w:tbl>
      <w:tblPr>
        <w:tblStyle w:val="31"/>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3B469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241" w:type="dxa"/>
            <w:noWrap w:val="0"/>
            <w:vAlign w:val="top"/>
          </w:tcPr>
          <w:p w14:paraId="778A5D28">
            <w:pPr>
              <w:keepNext w:val="0"/>
              <w:keepLines w:val="0"/>
              <w:pageBreakBefore w:val="0"/>
              <w:widowControl w:val="0"/>
              <w:shd w:val="clear" w:color="auto" w:fill="auto"/>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160B31BD">
            <w:pPr>
              <w:keepNext w:val="0"/>
              <w:keepLines w:val="0"/>
              <w:pageBreakBefore w:val="0"/>
              <w:widowControl w:val="0"/>
              <w:shd w:val="clear" w:color="auto" w:fill="auto"/>
              <w:spacing w:line="440" w:lineRule="exact"/>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滨海县人民医院皮肤影像分析仪设备采购项目（二次）</w:t>
            </w:r>
            <w:r>
              <w:rPr>
                <w:rFonts w:hint="eastAsia" w:ascii="宋体" w:hAnsi="宋体" w:cs="宋体"/>
                <w:color w:val="auto"/>
                <w:sz w:val="24"/>
                <w:szCs w:val="24"/>
                <w:highlight w:val="none"/>
              </w:rPr>
              <w:t>的潜在投标人应在“苏采云”系统内免费下载（投标人必须在苏采云系统中获取采购文件，方能参与政府采购项目）获取招标文件，并于</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点</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分</w:t>
            </w:r>
            <w:r>
              <w:rPr>
                <w:rFonts w:hint="eastAsia" w:ascii="宋体" w:hAnsi="宋体" w:cs="宋体"/>
                <w:color w:val="auto"/>
                <w:sz w:val="24"/>
                <w:szCs w:val="24"/>
                <w:highlight w:val="none"/>
              </w:rPr>
              <w:t>（北京时间）前递交投标文件。</w:t>
            </w:r>
          </w:p>
        </w:tc>
      </w:tr>
    </w:tbl>
    <w:p w14:paraId="214F16B3">
      <w:pPr>
        <w:pStyle w:val="430"/>
        <w:keepNext w:val="0"/>
        <w:keepLines w:val="0"/>
        <w:pageBreakBefore w:val="0"/>
        <w:widowControl w:val="0"/>
        <w:shd w:val="clear" w:color="auto" w:fill="auto"/>
        <w:tabs>
          <w:tab w:val="left" w:pos="1134"/>
          <w:tab w:val="left" w:pos="5612"/>
        </w:tabs>
        <w:spacing w:line="440" w:lineRule="exact"/>
        <w:ind w:firstLine="480"/>
        <w:outlineLvl w:val="1"/>
        <w:rPr>
          <w:rFonts w:hint="eastAsia" w:ascii="宋体" w:hAnsi="宋体" w:cs="宋体"/>
          <w:color w:val="auto"/>
          <w:sz w:val="24"/>
          <w:szCs w:val="24"/>
          <w:highlight w:val="none"/>
        </w:rPr>
      </w:pPr>
      <w:bookmarkStart w:id="4" w:name="_Toc2298"/>
      <w:r>
        <w:rPr>
          <w:rFonts w:hint="eastAsia" w:ascii="宋体" w:hAnsi="宋体" w:cs="宋体"/>
          <w:color w:val="auto"/>
          <w:sz w:val="24"/>
          <w:szCs w:val="24"/>
          <w:highlight w:val="none"/>
        </w:rPr>
        <w:t>一、项目基本情况</w:t>
      </w:r>
      <w:bookmarkEnd w:id="4"/>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p>
    <w:p w14:paraId="42218668">
      <w:pPr>
        <w:pStyle w:val="430"/>
        <w:keepNext w:val="0"/>
        <w:keepLines w:val="0"/>
        <w:pageBreakBefore w:val="0"/>
        <w:widowControl w:val="0"/>
        <w:shd w:val="clear" w:color="auto" w:fill="auto"/>
        <w:tabs>
          <w:tab w:val="left" w:pos="1134"/>
        </w:tabs>
        <w:spacing w:line="440" w:lineRule="exact"/>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项目编号：JSZC-320922-JSHY-G2025-0366</w:t>
      </w:r>
    </w:p>
    <w:p w14:paraId="51570D3A">
      <w:pPr>
        <w:pStyle w:val="430"/>
        <w:keepNext w:val="0"/>
        <w:keepLines w:val="0"/>
        <w:pageBreakBefore w:val="0"/>
        <w:widowControl w:val="0"/>
        <w:shd w:val="clear" w:color="auto" w:fill="auto"/>
        <w:tabs>
          <w:tab w:val="left" w:pos="1134"/>
        </w:tabs>
        <w:spacing w:line="440" w:lineRule="exact"/>
        <w:ind w:firstLine="96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滨海县人民医院皮肤影像分析仪设备采购项目（二次）</w:t>
      </w:r>
    </w:p>
    <w:p w14:paraId="05F7D2B9">
      <w:pPr>
        <w:pStyle w:val="430"/>
        <w:keepNext w:val="0"/>
        <w:keepLines w:val="0"/>
        <w:pageBreakBefore w:val="0"/>
        <w:widowControl w:val="0"/>
        <w:shd w:val="clear" w:color="auto" w:fill="auto"/>
        <w:tabs>
          <w:tab w:val="left" w:pos="1134"/>
        </w:tabs>
        <w:spacing w:line="440" w:lineRule="exact"/>
        <w:ind w:firstLine="960"/>
        <w:rPr>
          <w:rFonts w:hint="eastAsia" w:ascii="宋体" w:hAnsi="宋体" w:eastAsia="宋体" w:cs="宋体"/>
          <w:color w:val="auto"/>
          <w:sz w:val="24"/>
          <w:szCs w:val="24"/>
          <w:highlight w:val="yellow"/>
        </w:rPr>
      </w:pPr>
      <w:r>
        <w:rPr>
          <w:rFonts w:hint="eastAsia" w:ascii="宋体" w:hAnsi="宋体" w:cs="宋体"/>
          <w:color w:val="auto"/>
          <w:sz w:val="24"/>
          <w:szCs w:val="24"/>
          <w:highlight w:val="none"/>
        </w:rPr>
        <w:t>预算金额：</w:t>
      </w:r>
      <w:r>
        <w:rPr>
          <w:rFonts w:hint="eastAsia" w:ascii="宋体" w:hAnsi="宋体" w:cs="宋体"/>
          <w:color w:val="auto"/>
          <w:sz w:val="24"/>
          <w:szCs w:val="24"/>
          <w:highlight w:val="none"/>
          <w:lang w:val="en-US" w:eastAsia="zh-CN"/>
        </w:rPr>
        <w:t>19</w:t>
      </w:r>
      <w:r>
        <w:rPr>
          <w:rFonts w:hint="eastAsia" w:ascii="宋体" w:hAnsi="宋体" w:eastAsia="宋体" w:cs="宋体"/>
          <w:color w:val="auto"/>
          <w:sz w:val="24"/>
          <w:szCs w:val="24"/>
          <w:highlight w:val="none"/>
        </w:rPr>
        <w:t>万元</w:t>
      </w:r>
    </w:p>
    <w:p w14:paraId="1AB475A2">
      <w:pPr>
        <w:pStyle w:val="430"/>
        <w:keepNext w:val="0"/>
        <w:keepLines w:val="0"/>
        <w:pageBreakBefore w:val="0"/>
        <w:widowControl w:val="0"/>
        <w:shd w:val="clear" w:color="auto" w:fill="auto"/>
        <w:tabs>
          <w:tab w:val="left" w:pos="1134"/>
        </w:tabs>
        <w:spacing w:line="440" w:lineRule="exact"/>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项目需求</w:t>
      </w:r>
      <w:r>
        <w:rPr>
          <w:rFonts w:hint="eastAsia" w:ascii="宋体" w:hAnsi="宋体" w:eastAsia="宋体" w:cs="宋体"/>
          <w:color w:val="auto"/>
          <w:sz w:val="24"/>
          <w:szCs w:val="24"/>
          <w:highlight w:val="none"/>
        </w:rPr>
        <w:t>：</w:t>
      </w:r>
    </w:p>
    <w:tbl>
      <w:tblPr>
        <w:tblStyle w:val="31"/>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2231"/>
        <w:gridCol w:w="852"/>
        <w:gridCol w:w="975"/>
        <w:gridCol w:w="1202"/>
        <w:gridCol w:w="971"/>
        <w:gridCol w:w="1052"/>
        <w:gridCol w:w="1226"/>
      </w:tblGrid>
      <w:tr w14:paraId="22E3E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508" w:type="dxa"/>
            <w:noWrap/>
            <w:vAlign w:val="center"/>
          </w:tcPr>
          <w:p w14:paraId="447ACE74">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包号</w:t>
            </w:r>
          </w:p>
        </w:tc>
        <w:tc>
          <w:tcPr>
            <w:tcW w:w="2231" w:type="dxa"/>
            <w:noWrap/>
            <w:vAlign w:val="center"/>
          </w:tcPr>
          <w:p w14:paraId="21D0D112">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设备名称</w:t>
            </w:r>
          </w:p>
        </w:tc>
        <w:tc>
          <w:tcPr>
            <w:tcW w:w="852" w:type="dxa"/>
            <w:noWrap w:val="0"/>
            <w:vAlign w:val="center"/>
          </w:tcPr>
          <w:p w14:paraId="674B8260">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数量</w:t>
            </w:r>
          </w:p>
          <w:p w14:paraId="55C1080D">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（台）</w:t>
            </w:r>
          </w:p>
        </w:tc>
        <w:tc>
          <w:tcPr>
            <w:tcW w:w="975" w:type="dxa"/>
            <w:noWrap w:val="0"/>
            <w:vAlign w:val="center"/>
          </w:tcPr>
          <w:p w14:paraId="16489AE0">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预算</w:t>
            </w:r>
          </w:p>
          <w:p w14:paraId="47CEC260">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(万元)</w:t>
            </w:r>
          </w:p>
        </w:tc>
        <w:tc>
          <w:tcPr>
            <w:tcW w:w="1202" w:type="dxa"/>
            <w:noWrap w:val="0"/>
            <w:vAlign w:val="center"/>
          </w:tcPr>
          <w:p w14:paraId="1D4BA2D1">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最高限价</w:t>
            </w:r>
          </w:p>
          <w:p w14:paraId="7FCF65D0">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（万元）</w:t>
            </w:r>
          </w:p>
        </w:tc>
        <w:tc>
          <w:tcPr>
            <w:tcW w:w="971" w:type="dxa"/>
            <w:noWrap/>
            <w:vAlign w:val="center"/>
          </w:tcPr>
          <w:p w14:paraId="5C2D6AFF">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质保期</w:t>
            </w:r>
          </w:p>
        </w:tc>
        <w:tc>
          <w:tcPr>
            <w:tcW w:w="1052" w:type="dxa"/>
            <w:noWrap w:val="0"/>
            <w:vAlign w:val="center"/>
          </w:tcPr>
          <w:p w14:paraId="35E72C9C">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交货期</w:t>
            </w:r>
          </w:p>
          <w:p w14:paraId="61442A83">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(天)</w:t>
            </w:r>
          </w:p>
        </w:tc>
        <w:tc>
          <w:tcPr>
            <w:tcW w:w="1226" w:type="dxa"/>
            <w:noWrap w:val="0"/>
            <w:vAlign w:val="center"/>
          </w:tcPr>
          <w:p w14:paraId="74FCCA9E">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是否接受进口产品投标</w:t>
            </w:r>
          </w:p>
        </w:tc>
      </w:tr>
      <w:tr w14:paraId="411B9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508" w:type="dxa"/>
            <w:noWrap/>
            <w:vAlign w:val="center"/>
          </w:tcPr>
          <w:p w14:paraId="182A008D">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bidi="ar"/>
              </w:rPr>
              <w:t>1</w:t>
            </w:r>
          </w:p>
        </w:tc>
        <w:tc>
          <w:tcPr>
            <w:tcW w:w="2231" w:type="dxa"/>
            <w:noWrap w:val="0"/>
            <w:vAlign w:val="center"/>
          </w:tcPr>
          <w:p w14:paraId="040442D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皮肤影像分析仪</w:t>
            </w:r>
          </w:p>
        </w:tc>
        <w:tc>
          <w:tcPr>
            <w:tcW w:w="852" w:type="dxa"/>
            <w:noWrap w:val="0"/>
            <w:vAlign w:val="center"/>
          </w:tcPr>
          <w:p w14:paraId="72B027B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p>
        </w:tc>
        <w:tc>
          <w:tcPr>
            <w:tcW w:w="975" w:type="dxa"/>
            <w:noWrap/>
            <w:vAlign w:val="center"/>
          </w:tcPr>
          <w:p w14:paraId="6AB81DD7">
            <w:pPr>
              <w:keepNext w:val="0"/>
              <w:keepLines w:val="0"/>
              <w:widowControl/>
              <w:suppressLineNumbers w:val="0"/>
              <w:jc w:val="center"/>
              <w:rPr>
                <w:rFonts w:hint="default"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u w:val="none"/>
                <w:lang w:val="en-US" w:eastAsia="zh-CN"/>
              </w:rPr>
              <w:t>19</w:t>
            </w:r>
          </w:p>
        </w:tc>
        <w:tc>
          <w:tcPr>
            <w:tcW w:w="1202" w:type="dxa"/>
            <w:noWrap/>
            <w:vAlign w:val="center"/>
          </w:tcPr>
          <w:p w14:paraId="7BE90C8F">
            <w:pPr>
              <w:keepNext w:val="0"/>
              <w:keepLines w:val="0"/>
              <w:widowControl/>
              <w:suppressLineNumbers w:val="0"/>
              <w:jc w:val="center"/>
              <w:rPr>
                <w:rFonts w:hint="default"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u w:val="none"/>
                <w:lang w:val="en-US" w:eastAsia="zh-CN"/>
              </w:rPr>
              <w:t>19</w:t>
            </w:r>
          </w:p>
        </w:tc>
        <w:tc>
          <w:tcPr>
            <w:tcW w:w="971" w:type="dxa"/>
            <w:noWrap/>
            <w:vAlign w:val="center"/>
          </w:tcPr>
          <w:p w14:paraId="40EEBEEC">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u w:val="none"/>
                <w:lang w:val="en-US" w:eastAsia="zh-CN"/>
              </w:rPr>
              <w:t>3年</w:t>
            </w:r>
          </w:p>
        </w:tc>
        <w:tc>
          <w:tcPr>
            <w:tcW w:w="1052" w:type="dxa"/>
            <w:noWrap/>
            <w:vAlign w:val="center"/>
          </w:tcPr>
          <w:p w14:paraId="54EE7755">
            <w:pPr>
              <w:keepNext w:val="0"/>
              <w:keepLines w:val="0"/>
              <w:widowControl/>
              <w:suppressLineNumbers w:val="0"/>
              <w:jc w:val="center"/>
              <w:rPr>
                <w:rFonts w:hint="default"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90</w:t>
            </w:r>
          </w:p>
        </w:tc>
        <w:tc>
          <w:tcPr>
            <w:tcW w:w="1226" w:type="dxa"/>
            <w:noWrap/>
            <w:vAlign w:val="center"/>
          </w:tcPr>
          <w:p w14:paraId="60D516B8">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是</w:t>
            </w:r>
          </w:p>
        </w:tc>
      </w:tr>
    </w:tbl>
    <w:p w14:paraId="7B8D64ED">
      <w:pPr>
        <w:pStyle w:val="430"/>
        <w:shd w:val="clear" w:color="auto" w:fill="auto"/>
        <w:tabs>
          <w:tab w:val="left" w:pos="1134"/>
        </w:tabs>
        <w:spacing w:line="312" w:lineRule="auto"/>
        <w:ind w:left="0" w:firstLine="0"/>
        <w:rPr>
          <w:rFonts w:hint="eastAsia" w:ascii="宋体" w:hAnsi="宋体" w:cs="宋体"/>
          <w:color w:val="auto"/>
          <w:sz w:val="24"/>
          <w:szCs w:val="24"/>
          <w:highlight w:val="none"/>
        </w:rPr>
      </w:pPr>
    </w:p>
    <w:p w14:paraId="281CBBDF">
      <w:pPr>
        <w:pStyle w:val="430"/>
        <w:keepNext w:val="0"/>
        <w:keepLines w:val="0"/>
        <w:pageBreakBefore w:val="0"/>
        <w:shd w:val="clear" w:color="auto" w:fill="auto"/>
        <w:tabs>
          <w:tab w:val="left" w:pos="1134"/>
        </w:tabs>
        <w:spacing w:line="440" w:lineRule="exact"/>
        <w:ind w:firstLine="960"/>
        <w:rPr>
          <w:rFonts w:ascii="宋体" w:hAnsi="宋体" w:cs="宋体"/>
          <w:color w:val="auto"/>
          <w:sz w:val="24"/>
          <w:szCs w:val="24"/>
          <w:highlight w:val="none"/>
        </w:rPr>
      </w:pPr>
      <w:bookmarkStart w:id="5" w:name="_Toc3038"/>
      <w:r>
        <w:rPr>
          <w:rFonts w:hint="eastAsia" w:ascii="宋体" w:hAnsi="宋体" w:cs="宋体"/>
          <w:color w:val="auto"/>
          <w:sz w:val="24"/>
          <w:szCs w:val="24"/>
          <w:highlight w:val="none"/>
        </w:rPr>
        <w:t>本项目（是/否）接受联合体投标：不接受联合体</w:t>
      </w:r>
    </w:p>
    <w:p w14:paraId="344AE981">
      <w:pPr>
        <w:pStyle w:val="430"/>
        <w:keepNext w:val="0"/>
        <w:keepLines w:val="0"/>
        <w:pageBreakBefore w:val="0"/>
        <w:shd w:val="clear" w:color="auto" w:fill="auto"/>
        <w:tabs>
          <w:tab w:val="left" w:pos="1134"/>
        </w:tabs>
        <w:spacing w:line="440" w:lineRule="exact"/>
        <w:ind w:left="567" w:firstLine="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二、申请人的资格要求：</w:t>
      </w:r>
      <w:bookmarkEnd w:id="5"/>
    </w:p>
    <w:p w14:paraId="4235384D">
      <w:pPr>
        <w:pStyle w:val="468"/>
        <w:keepNext w:val="0"/>
        <w:keepLines w:val="0"/>
        <w:pageBreakBefore w:val="0"/>
        <w:shd w:val="clear" w:color="auto" w:fill="auto"/>
        <w:spacing w:line="440" w:lineRule="exact"/>
        <w:ind w:left="709" w:firstLine="0"/>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14:paraId="60591B25">
      <w:pPr>
        <w:keepNext w:val="0"/>
        <w:keepLines w:val="0"/>
        <w:pageBreakBefore w:val="0"/>
        <w:shd w:val="clear" w:color="auto" w:fill="auto"/>
        <w:spacing w:line="440" w:lineRule="exact"/>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1）具有独立承担民事责任的能力（提供法人或者其他组织的营业执照等证明文件；供应商为自然人的，提供其身份证）；</w:t>
      </w:r>
    </w:p>
    <w:p w14:paraId="06C3B140">
      <w:pPr>
        <w:keepNext w:val="0"/>
        <w:keepLines w:val="0"/>
        <w:pageBreakBefore w:val="0"/>
        <w:shd w:val="clear" w:color="auto" w:fill="auto"/>
        <w:spacing w:line="440" w:lineRule="exact"/>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w:t>
      </w:r>
      <w:r>
        <w:rPr>
          <w:rFonts w:hint="eastAsia" w:ascii="宋体" w:hAnsi="宋体" w:cs="宋体"/>
          <w:b/>
          <w:bCs/>
          <w:color w:val="auto"/>
          <w:sz w:val="24"/>
          <w:szCs w:val="24"/>
          <w:highlight w:val="none"/>
        </w:rPr>
        <w:t>（提供</w:t>
      </w:r>
      <w:r>
        <w:rPr>
          <w:rFonts w:hint="eastAsia" w:ascii="宋体" w:hAnsi="宋体" w:cs="宋体"/>
          <w:b/>
          <w:bCs/>
          <w:color w:val="auto"/>
          <w:sz w:val="24"/>
          <w:szCs w:val="24"/>
          <w:highlight w:val="none"/>
          <w:lang w:val="en-US" w:eastAsia="zh-CN"/>
        </w:rPr>
        <w:t>2023年度或2024年度的财务报告，</w:t>
      </w:r>
      <w:r>
        <w:rPr>
          <w:rFonts w:hint="eastAsia" w:ascii="宋体" w:hAnsi="宋体" w:cs="宋体"/>
          <w:b/>
          <w:bCs/>
          <w:color w:val="auto"/>
          <w:sz w:val="24"/>
          <w:szCs w:val="24"/>
          <w:highlight w:val="none"/>
        </w:rPr>
        <w:t>至少包含资产负债表、利润表，或投标截止时间前六个月内银行出具的资信证明，成立不满一年的无须提供）；</w:t>
      </w:r>
    </w:p>
    <w:p w14:paraId="4E158D2C">
      <w:pPr>
        <w:keepNext w:val="0"/>
        <w:keepLines w:val="0"/>
        <w:pageBreakBefore w:val="0"/>
        <w:shd w:val="clear" w:color="auto" w:fill="auto"/>
        <w:spacing w:line="440" w:lineRule="exact"/>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3）具有履行合同所必需的设备和专业技术能力</w:t>
      </w:r>
      <w:r>
        <w:rPr>
          <w:rFonts w:hint="eastAsia" w:ascii="宋体" w:hAnsi="宋体" w:cs="宋体"/>
          <w:b/>
          <w:bCs/>
          <w:color w:val="auto"/>
          <w:sz w:val="24"/>
          <w:szCs w:val="24"/>
          <w:highlight w:val="none"/>
        </w:rPr>
        <w:t>（供应商根据履行采购项目合同需要，提供履行合同所必需的设备和专业技术能力的声明函或证明材料）；</w:t>
      </w:r>
    </w:p>
    <w:p w14:paraId="1DDE5E78">
      <w:pPr>
        <w:keepNext w:val="0"/>
        <w:keepLines w:val="0"/>
        <w:pageBreakBefore w:val="0"/>
        <w:shd w:val="clear" w:color="auto" w:fill="auto"/>
        <w:spacing w:line="440" w:lineRule="exact"/>
        <w:ind w:left="1134"/>
        <w:rPr>
          <w:rFonts w:hint="eastAsia" w:ascii="宋体" w:hAnsi="宋体" w:cs="宋体"/>
          <w:b/>
          <w:bCs/>
          <w:color w:val="auto"/>
          <w:sz w:val="24"/>
          <w:szCs w:val="24"/>
          <w:highlight w:val="none"/>
        </w:rPr>
      </w:pPr>
      <w:r>
        <w:rPr>
          <w:rFonts w:hint="eastAsia" w:ascii="宋体" w:hAnsi="宋体" w:cs="宋体"/>
          <w:color w:val="auto"/>
          <w:sz w:val="24"/>
          <w:szCs w:val="24"/>
          <w:highlight w:val="none"/>
        </w:rPr>
        <w:t>4）有依法缴纳税收和社会保障资金的良好记录（提供202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月至今）中任一月份的依法缴纳税收和社会保险费的相关材料</w:t>
      </w:r>
      <w:r>
        <w:rPr>
          <w:rFonts w:hint="eastAsia" w:ascii="宋体" w:hAnsi="宋体" w:cs="宋体"/>
          <w:b/>
          <w:bCs/>
          <w:color w:val="auto"/>
          <w:sz w:val="24"/>
          <w:szCs w:val="24"/>
          <w:highlight w:val="none"/>
        </w:rPr>
        <w:t>（提供相关主管部门证明或银行代扣证明的复印件，根据国家相关政策免缴或迟缴的需提供相关证明材料）</w:t>
      </w:r>
    </w:p>
    <w:p w14:paraId="01A04EB3">
      <w:pPr>
        <w:keepNext w:val="0"/>
        <w:keepLines w:val="0"/>
        <w:pageBreakBefore w:val="0"/>
        <w:shd w:val="clear" w:color="auto" w:fill="auto"/>
        <w:spacing w:line="440" w:lineRule="exact"/>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5）参加政府采购活动前三年内，在经营活动中没有重大违法记录（提供承诺书）；</w:t>
      </w:r>
    </w:p>
    <w:p w14:paraId="3CD9761A">
      <w:pPr>
        <w:keepNext w:val="0"/>
        <w:keepLines w:val="0"/>
        <w:pageBreakBefore w:val="0"/>
        <w:shd w:val="clear" w:color="auto" w:fill="auto"/>
        <w:spacing w:line="440" w:lineRule="exact"/>
        <w:ind w:left="1134"/>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6）法律、行政法规规定的其他条件</w:t>
      </w:r>
      <w:r>
        <w:rPr>
          <w:rFonts w:hint="eastAsia" w:ascii="宋体" w:hAnsi="宋体" w:cs="宋体"/>
          <w:color w:val="auto"/>
          <w:sz w:val="24"/>
          <w:szCs w:val="24"/>
          <w:highlight w:val="none"/>
          <w:lang w:eastAsia="zh-CN"/>
        </w:rPr>
        <w:t>。</w:t>
      </w:r>
    </w:p>
    <w:p w14:paraId="6E127486">
      <w:pPr>
        <w:pStyle w:val="211"/>
        <w:keepNext w:val="0"/>
        <w:keepLines w:val="0"/>
        <w:pageBreakBefore w:val="0"/>
        <w:shd w:val="clear" w:color="auto" w:fill="auto"/>
        <w:spacing w:before="1" w:line="440" w:lineRule="exact"/>
        <w:ind w:right="476"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2.落实政府采购政策满足的资格要求：</w:t>
      </w:r>
    </w:p>
    <w:p w14:paraId="0F327D03">
      <w:pPr>
        <w:pStyle w:val="211"/>
        <w:keepNext w:val="0"/>
        <w:keepLines w:val="0"/>
        <w:pageBreakBefore w:val="0"/>
        <w:shd w:val="clear" w:color="auto" w:fill="auto"/>
        <w:spacing w:before="1" w:line="440" w:lineRule="exact"/>
        <w:ind w:left="718" w:right="474"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p>
    <w:p w14:paraId="5ADD56C9">
      <w:pPr>
        <w:pStyle w:val="468"/>
        <w:keepNext w:val="0"/>
        <w:keepLines w:val="0"/>
        <w:pageBreakBefore w:val="0"/>
        <w:shd w:val="clear" w:color="auto" w:fill="auto"/>
        <w:spacing w:line="440" w:lineRule="exact"/>
        <w:ind w:left="709" w:firstLine="0"/>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3BA62969">
      <w:pPr>
        <w:pStyle w:val="468"/>
        <w:keepNext w:val="0"/>
        <w:keepLines w:val="0"/>
        <w:pageBreakBefore w:val="0"/>
        <w:numPr>
          <w:ilvl w:val="0"/>
          <w:numId w:val="0"/>
        </w:numPr>
        <w:shd w:val="clear" w:color="auto" w:fill="auto"/>
        <w:spacing w:line="440" w:lineRule="exact"/>
        <w:ind w:left="1134"/>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一</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拒绝被“信用中国”（www.creditchina.gov.cn）、“中国政府采购网”(www.ccgp.gov.cn）列入失信被执行人、重大税收违法案件当事人、政府采购严重失信行为的供应商参加投标。</w:t>
      </w:r>
    </w:p>
    <w:p w14:paraId="757359E7">
      <w:pPr>
        <w:pStyle w:val="468"/>
        <w:keepNext w:val="0"/>
        <w:keepLines w:val="0"/>
        <w:pageBreakBefore w:val="0"/>
        <w:numPr>
          <w:ilvl w:val="0"/>
          <w:numId w:val="0"/>
        </w:numPr>
        <w:shd w:val="clear" w:color="auto" w:fill="auto"/>
        <w:spacing w:line="440" w:lineRule="exact"/>
        <w:ind w:left="1134"/>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其它：</w:t>
      </w:r>
    </w:p>
    <w:p w14:paraId="687DE06C">
      <w:pPr>
        <w:pStyle w:val="468"/>
        <w:keepNext w:val="0"/>
        <w:keepLines w:val="0"/>
        <w:pageBreakBefore w:val="0"/>
        <w:shd w:val="clear" w:color="auto" w:fill="auto"/>
        <w:spacing w:line="440" w:lineRule="exact"/>
        <w:ind w:left="1134" w:firstLine="0"/>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根据投标产品类别，</w:t>
      </w:r>
      <w:r>
        <w:rPr>
          <w:rFonts w:ascii="宋体" w:hAnsi="宋体" w:eastAsia="宋体" w:cs="宋体"/>
          <w:bCs/>
          <w:color w:val="auto"/>
          <w:sz w:val="24"/>
          <w:szCs w:val="24"/>
          <w:highlight w:val="none"/>
          <w:lang w:val="en-US" w:eastAsia="zh-CN"/>
        </w:rPr>
        <w:t>投标人具有所有所投产品医疗器械生产许可（或备案）证或经营许可（或备案）证。</w:t>
      </w:r>
    </w:p>
    <w:p w14:paraId="5E9C0AA9">
      <w:pPr>
        <w:pStyle w:val="468"/>
        <w:keepNext w:val="0"/>
        <w:keepLines w:val="0"/>
        <w:pageBreakBefore w:val="0"/>
        <w:shd w:val="clear" w:color="auto" w:fill="auto"/>
        <w:spacing w:line="440" w:lineRule="exact"/>
        <w:ind w:left="1134" w:firstLine="0"/>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根据投标产品类别，</w:t>
      </w:r>
      <w:r>
        <w:rPr>
          <w:rFonts w:ascii="宋体" w:hAnsi="宋体" w:eastAsia="宋体" w:cs="宋体"/>
          <w:bCs/>
          <w:color w:val="auto"/>
          <w:sz w:val="24"/>
          <w:szCs w:val="24"/>
          <w:highlight w:val="none"/>
          <w:lang w:val="en-US" w:eastAsia="zh-CN"/>
        </w:rPr>
        <w:t>提供所有所投产品有效的医疗器械产品注册证或产品备案凭证。</w:t>
      </w:r>
    </w:p>
    <w:p w14:paraId="260C48D9">
      <w:pPr>
        <w:pStyle w:val="468"/>
        <w:shd w:val="clear" w:color="auto" w:fill="auto"/>
        <w:spacing w:line="329" w:lineRule="auto"/>
        <w:ind w:left="1134"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（3）投标货物如为进口产品，投标人须提供下列授权文件之一</w:t>
      </w:r>
    </w:p>
    <w:p w14:paraId="75D7BD80">
      <w:pPr>
        <w:pStyle w:val="468"/>
        <w:shd w:val="clear" w:color="auto" w:fill="auto"/>
        <w:spacing w:line="329" w:lineRule="auto"/>
        <w:ind w:left="1134" w:firstLine="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a.供应商须提供进口产品制造商出具的授权函加盖公章；</w:t>
      </w:r>
    </w:p>
    <w:p w14:paraId="1BAC4081">
      <w:pPr>
        <w:pStyle w:val="468"/>
        <w:shd w:val="clear" w:color="auto" w:fill="auto"/>
        <w:spacing w:line="329" w:lineRule="auto"/>
        <w:ind w:left="1134" w:firstLine="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b.进口产品制造商对授权的区域代理商出具的授权函扫描件及该区域代理商对投标人出具的授权函扫描件加盖公章；</w:t>
      </w:r>
    </w:p>
    <w:p w14:paraId="6634E208">
      <w:pPr>
        <w:pStyle w:val="468"/>
        <w:shd w:val="clear" w:color="auto" w:fill="auto"/>
        <w:spacing w:line="329" w:lineRule="auto"/>
        <w:ind w:left="1134" w:firstLine="72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c.投标人取得的进口产品代理证书扫描件加盖公章。</w:t>
      </w:r>
    </w:p>
    <w:p w14:paraId="4F1A4475">
      <w:pPr>
        <w:pStyle w:val="468"/>
        <w:keepNext w:val="0"/>
        <w:keepLines w:val="0"/>
        <w:pageBreakBefore w:val="0"/>
        <w:shd w:val="clear" w:color="auto" w:fill="auto"/>
        <w:spacing w:line="440" w:lineRule="exact"/>
        <w:ind w:left="1134" w:firstLine="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注：以上证明材料均需加盖投标单位公章。</w:t>
      </w:r>
    </w:p>
    <w:p w14:paraId="2CC5B3CA">
      <w:pPr>
        <w:pStyle w:val="468"/>
        <w:keepNext w:val="0"/>
        <w:keepLines w:val="0"/>
        <w:pageBreakBefore w:val="0"/>
        <w:shd w:val="clear" w:color="auto" w:fill="auto"/>
        <w:spacing w:line="440" w:lineRule="exact"/>
        <w:ind w:left="1134" w:firstLine="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BC3682C">
      <w:pPr>
        <w:pStyle w:val="468"/>
        <w:keepNext w:val="0"/>
        <w:keepLines w:val="0"/>
        <w:pageBreakBefore w:val="0"/>
        <w:shd w:val="clear" w:color="auto" w:fill="auto"/>
        <w:spacing w:line="440" w:lineRule="exact"/>
        <w:ind w:left="709" w:firstLine="0"/>
        <w:outlineLvl w:val="1"/>
        <w:rPr>
          <w:rFonts w:hint="eastAsia" w:ascii="宋体" w:hAnsi="宋体" w:cs="宋体"/>
          <w:color w:val="auto"/>
          <w:sz w:val="24"/>
          <w:szCs w:val="24"/>
          <w:highlight w:val="none"/>
        </w:rPr>
      </w:pPr>
      <w:bookmarkStart w:id="6" w:name="_Toc26697"/>
      <w:r>
        <w:rPr>
          <w:rFonts w:hint="eastAsia" w:ascii="宋体" w:hAnsi="宋体" w:cs="宋体"/>
          <w:color w:val="auto"/>
          <w:sz w:val="24"/>
          <w:szCs w:val="24"/>
          <w:highlight w:val="none"/>
        </w:rPr>
        <w:t>三、获取招标文件</w:t>
      </w:r>
      <w:bookmarkEnd w:id="6"/>
    </w:p>
    <w:p w14:paraId="4E70DCB2">
      <w:pPr>
        <w:pStyle w:val="634"/>
        <w:spacing w:line="329" w:lineRule="auto"/>
        <w:ind w:firstLine="1200"/>
        <w:outlineLvl w:val="1"/>
        <w:rPr>
          <w:rFonts w:hint="eastAsia" w:ascii="宋体" w:hAnsi="宋体" w:cs="宋体"/>
          <w:color w:val="auto"/>
          <w:sz w:val="24"/>
          <w:szCs w:val="24"/>
          <w:highlight w:val="none"/>
        </w:rPr>
      </w:pPr>
      <w:bookmarkStart w:id="7" w:name="_Toc2291"/>
      <w:r>
        <w:rPr>
          <w:rFonts w:hint="eastAsia" w:ascii="宋体" w:hAnsi="宋体" w:cs="宋体"/>
          <w:color w:val="auto"/>
          <w:sz w:val="24"/>
          <w:szCs w:val="24"/>
          <w:highlight w:val="none"/>
        </w:rPr>
        <w:t xml:space="preserve">1.采购文件获取截止时间：自公告发布之日起5个工作日 </w:t>
      </w:r>
    </w:p>
    <w:p w14:paraId="30D66F88">
      <w:pPr>
        <w:pStyle w:val="634"/>
        <w:spacing w:line="329" w:lineRule="auto"/>
        <w:ind w:left="2157" w:hanging="96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2.地点：“苏采云”系统内免费下载（投标人必须在苏采云系统中获取采购文件，方能参与政府采购项目）</w:t>
      </w:r>
    </w:p>
    <w:p w14:paraId="249FC9E8">
      <w:pPr>
        <w:pStyle w:val="634"/>
        <w:spacing w:line="329" w:lineRule="auto"/>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3.方式：本项目采用网上注册登记方式</w:t>
      </w:r>
    </w:p>
    <w:p w14:paraId="12E6D399">
      <w:pPr>
        <w:pStyle w:val="634"/>
        <w:spacing w:line="329" w:lineRule="auto"/>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潜在供应商访问电子招标响应交易平台的网络地址和方法： </w:t>
      </w:r>
    </w:p>
    <w:p w14:paraId="08C3FDD2">
      <w:pPr>
        <w:pStyle w:val="634"/>
        <w:spacing w:line="329" w:lineRule="auto"/>
        <w:ind w:firstLine="168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 数字证书”--CA 绑定与登录--参与投 </w:t>
      </w:r>
    </w:p>
    <w:p w14:paraId="4C0EAF3E">
      <w:pPr>
        <w:pStyle w:val="634"/>
        <w:spacing w:line="329" w:lineRule="auto"/>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标--下载采购文件（后缀名为“.kedt”）--将后缀名为“.kedt”的采购文件导 </w:t>
      </w:r>
    </w:p>
    <w:p w14:paraId="649B36AD">
      <w:pPr>
        <w:pStyle w:val="634"/>
        <w:spacing w:line="329" w:lineRule="auto"/>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入政府采购客户端工具--制作响应文件--导出加密的响应文件（后缀名为 zip） </w:t>
      </w:r>
    </w:p>
    <w:p w14:paraId="02600357">
      <w:pPr>
        <w:pStyle w:val="634"/>
        <w:spacing w:line="329" w:lineRule="auto"/>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--通过“苏采云”系统上传响应文件。具体见《“苏采云”系统供应商操作手册》 </w:t>
      </w:r>
    </w:p>
    <w:p w14:paraId="288D6134">
      <w:pPr>
        <w:pStyle w:val="634"/>
        <w:spacing w:line="329" w:lineRule="auto"/>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（手册下载地址：苏采云系统-右侧消息通知栏）。 </w:t>
      </w:r>
    </w:p>
    <w:p w14:paraId="1F2A8F3C">
      <w:pPr>
        <w:pStyle w:val="634"/>
        <w:spacing w:line="329" w:lineRule="auto"/>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潜在投标人访问“苏采云”系统方法： </w:t>
      </w:r>
    </w:p>
    <w:p w14:paraId="016DADE4">
      <w:pPr>
        <w:pStyle w:val="634"/>
        <w:spacing w:line="329" w:lineRule="auto"/>
        <w:ind w:firstLine="168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江苏省政府采购网首页-“苏采云”链接。 </w:t>
      </w:r>
    </w:p>
    <w:p w14:paraId="225A3857">
      <w:pPr>
        <w:pStyle w:val="634"/>
        <w:spacing w:line="329" w:lineRule="auto"/>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3.3“CA 数字证书”的获取： </w:t>
      </w:r>
    </w:p>
    <w:p w14:paraId="1196BC43">
      <w:pPr>
        <w:pStyle w:val="634"/>
        <w:spacing w:line="329" w:lineRule="auto"/>
        <w:ind w:left="1197" w:firstLine="48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 CA 锁，“苏采云”系统目前仅支持政务 CA，省内各地区办理的用于“苏采云”平台的政务 CA 全省通用。盐城地区政务 CA 办理请至亭湖区政务服务中心二楼 226 窗口办理，联系电话：15051556883。 </w:t>
      </w:r>
    </w:p>
    <w:p w14:paraId="7639D045">
      <w:pPr>
        <w:pStyle w:val="634"/>
        <w:spacing w:line="329" w:lineRule="auto"/>
        <w:ind w:left="1197" w:firstLine="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 采购文件（后缀名为“.kedt”）、供应商操作手册及政府采购客户端工具可通过“苏采云”系统相应链接进行下载。 </w:t>
      </w:r>
    </w:p>
    <w:p w14:paraId="3B7FEB0B">
      <w:pPr>
        <w:pStyle w:val="634"/>
        <w:spacing w:line="329" w:lineRule="auto"/>
        <w:ind w:left="1197" w:firstLine="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 招标代理机构（采购代理机构）将数据电文形式的采购文件加载至“苏采云”系统，供潜在供应商下载或者查阅。 </w:t>
      </w:r>
    </w:p>
    <w:p w14:paraId="7DBF032C">
      <w:pPr>
        <w:pStyle w:val="634"/>
        <w:spacing w:line="329" w:lineRule="auto"/>
        <w:ind w:left="1197" w:firstLine="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3.6 请潜在投标单位提前安装相应的控件（详见《“苏采云”系统供应商操作手册》）并使用谷歌浏览器登录“苏采云”系统参与不见面开评标。 </w:t>
      </w:r>
    </w:p>
    <w:p w14:paraId="0A603FD3">
      <w:pPr>
        <w:pStyle w:val="634"/>
        <w:spacing w:line="329" w:lineRule="auto"/>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如潜在投标人未按上述要求操作，将自行承担所产生的风险。 </w:t>
      </w:r>
    </w:p>
    <w:p w14:paraId="2E299184">
      <w:pPr>
        <w:pStyle w:val="430"/>
        <w:keepNext w:val="0"/>
        <w:keepLines w:val="0"/>
        <w:pageBreakBefore w:val="0"/>
        <w:widowControl w:val="0"/>
        <w:numPr>
          <w:ilvl w:val="0"/>
          <w:numId w:val="0"/>
        </w:numPr>
        <w:shd w:val="clear" w:color="auto" w:fill="auto"/>
        <w:tabs>
          <w:tab w:val="left" w:pos="1134"/>
        </w:tabs>
        <w:spacing w:line="440" w:lineRule="exact"/>
        <w:ind w:left="709" w:firstLine="48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文件售价：免费。</w:t>
      </w:r>
    </w:p>
    <w:p w14:paraId="2990E455">
      <w:pPr>
        <w:pStyle w:val="430"/>
        <w:keepNext w:val="0"/>
        <w:keepLines w:val="0"/>
        <w:pageBreakBefore w:val="0"/>
        <w:widowControl w:val="0"/>
        <w:numPr>
          <w:ilvl w:val="0"/>
          <w:numId w:val="0"/>
        </w:numPr>
        <w:shd w:val="clear" w:color="auto" w:fill="auto"/>
        <w:tabs>
          <w:tab w:val="left" w:pos="1134"/>
        </w:tabs>
        <w:spacing w:line="440" w:lineRule="exact"/>
        <w:ind w:left="709"/>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四、提交投标文件截止时间、开标时间和地点</w:t>
      </w:r>
      <w:bookmarkEnd w:id="7"/>
    </w:p>
    <w:p w14:paraId="66210362">
      <w:pPr>
        <w:pStyle w:val="634"/>
        <w:keepNext w:val="0"/>
        <w:keepLines w:val="0"/>
        <w:pageBreakBefore w:val="0"/>
        <w:widowControl w:val="0"/>
        <w:spacing w:line="440" w:lineRule="exact"/>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1.线上提交投标文件截止时间：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点</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分</w:t>
      </w:r>
      <w:r>
        <w:rPr>
          <w:rFonts w:hint="eastAsia" w:ascii="宋体" w:hAnsi="宋体" w:cs="宋体"/>
          <w:color w:val="auto"/>
          <w:sz w:val="24"/>
          <w:szCs w:val="24"/>
          <w:highlight w:val="none"/>
        </w:rPr>
        <w:t>（北京时间）</w:t>
      </w:r>
    </w:p>
    <w:p w14:paraId="5A1DF594">
      <w:pPr>
        <w:pStyle w:val="634"/>
        <w:keepNext w:val="0"/>
        <w:keepLines w:val="0"/>
        <w:pageBreakBefore w:val="0"/>
        <w:widowControl w:val="0"/>
        <w:spacing w:line="440" w:lineRule="exact"/>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2.线上开标时间：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点</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rPr>
        <w:t>分</w:t>
      </w:r>
      <w:r>
        <w:rPr>
          <w:rFonts w:hint="eastAsia" w:ascii="宋体" w:hAnsi="宋体" w:cs="宋体"/>
          <w:color w:val="auto"/>
          <w:sz w:val="24"/>
          <w:szCs w:val="24"/>
          <w:highlight w:val="none"/>
        </w:rPr>
        <w:t xml:space="preserve">（北京时间） </w:t>
      </w:r>
    </w:p>
    <w:p w14:paraId="62A35752">
      <w:pPr>
        <w:pStyle w:val="634"/>
        <w:keepNext w:val="0"/>
        <w:keepLines w:val="0"/>
        <w:pageBreakBefore w:val="0"/>
        <w:widowControl w:val="0"/>
        <w:spacing w:line="440" w:lineRule="exact"/>
        <w:ind w:firstLine="120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3.线上开标地点：“苏采云”政府采购交易系统网上开标大厅 </w:t>
      </w:r>
    </w:p>
    <w:p w14:paraId="03B7402F">
      <w:pPr>
        <w:pStyle w:val="430"/>
        <w:keepNext w:val="0"/>
        <w:keepLines w:val="0"/>
        <w:pageBreakBefore w:val="0"/>
        <w:widowControl w:val="0"/>
        <w:shd w:val="clear" w:color="auto" w:fill="auto"/>
        <w:tabs>
          <w:tab w:val="left" w:pos="1134"/>
        </w:tabs>
        <w:spacing w:line="440" w:lineRule="exact"/>
        <w:ind w:left="708" w:firstLine="0"/>
        <w:outlineLvl w:val="1"/>
        <w:rPr>
          <w:rFonts w:hint="eastAsia" w:ascii="宋体" w:hAnsi="宋体" w:cs="宋体"/>
          <w:color w:val="auto"/>
          <w:sz w:val="24"/>
          <w:szCs w:val="24"/>
          <w:highlight w:val="none"/>
        </w:rPr>
      </w:pPr>
      <w:bookmarkStart w:id="8" w:name="_Toc5544"/>
      <w:r>
        <w:rPr>
          <w:rFonts w:hint="eastAsia" w:ascii="宋体" w:hAnsi="宋体" w:cs="宋体"/>
          <w:color w:val="auto"/>
          <w:sz w:val="24"/>
          <w:szCs w:val="24"/>
          <w:highlight w:val="none"/>
        </w:rPr>
        <w:t>五、公告期限</w:t>
      </w:r>
      <w:bookmarkEnd w:id="8"/>
    </w:p>
    <w:p w14:paraId="2B92998F">
      <w:pPr>
        <w:pStyle w:val="430"/>
        <w:keepNext w:val="0"/>
        <w:keepLines w:val="0"/>
        <w:pageBreakBefore w:val="0"/>
        <w:widowControl w:val="0"/>
        <w:shd w:val="clear" w:color="auto" w:fill="auto"/>
        <w:tabs>
          <w:tab w:val="left" w:pos="1276"/>
        </w:tabs>
        <w:spacing w:line="440" w:lineRule="exact"/>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4F1AD5A8">
      <w:pPr>
        <w:pStyle w:val="430"/>
        <w:keepNext w:val="0"/>
        <w:keepLines w:val="0"/>
        <w:pageBreakBefore w:val="0"/>
        <w:widowControl w:val="0"/>
        <w:shd w:val="clear" w:color="auto" w:fill="auto"/>
        <w:tabs>
          <w:tab w:val="left" w:pos="1134"/>
        </w:tabs>
        <w:spacing w:line="440" w:lineRule="exact"/>
        <w:ind w:left="709" w:firstLine="0"/>
        <w:outlineLvl w:val="1"/>
        <w:rPr>
          <w:rFonts w:hint="eastAsia" w:ascii="宋体" w:hAnsi="宋体" w:cs="宋体"/>
          <w:color w:val="auto"/>
          <w:sz w:val="24"/>
          <w:szCs w:val="24"/>
          <w:highlight w:val="none"/>
        </w:rPr>
      </w:pPr>
      <w:bookmarkStart w:id="9" w:name="_Toc12830"/>
      <w:r>
        <w:rPr>
          <w:rFonts w:hint="eastAsia" w:ascii="宋体" w:hAnsi="宋体" w:cs="宋体"/>
          <w:color w:val="auto"/>
          <w:sz w:val="24"/>
          <w:szCs w:val="24"/>
          <w:highlight w:val="none"/>
        </w:rPr>
        <w:t>六、其他补充事宜</w:t>
      </w:r>
      <w:bookmarkEnd w:id="9"/>
    </w:p>
    <w:p w14:paraId="77EC9C92">
      <w:pPr>
        <w:pStyle w:val="430"/>
        <w:keepNext w:val="0"/>
        <w:keepLines w:val="0"/>
        <w:pageBreakBefore w:val="0"/>
        <w:shd w:val="clear" w:color="auto" w:fill="auto"/>
        <w:tabs>
          <w:tab w:val="left" w:pos="1134"/>
        </w:tabs>
        <w:spacing w:line="440" w:lineRule="exact"/>
        <w:ind w:left="1134" w:firstLine="0"/>
        <w:rPr>
          <w:rFonts w:hint="eastAsia" w:ascii="宋体" w:hAnsi="宋体" w:eastAsia="宋体" w:cs="Times New Roman"/>
          <w:bCs/>
          <w:color w:val="auto"/>
          <w:sz w:val="24"/>
          <w:szCs w:val="20"/>
          <w:highlight w:val="none"/>
        </w:rPr>
      </w:pPr>
      <w:bookmarkStart w:id="10" w:name="_Toc10479"/>
      <w:r>
        <w:rPr>
          <w:rFonts w:hint="eastAsia" w:ascii="宋体" w:hAnsi="宋体" w:eastAsia="宋体" w:cs="Times New Roman"/>
          <w:bCs/>
          <w:color w:val="auto"/>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56356FD0">
      <w:pPr>
        <w:pStyle w:val="430"/>
        <w:keepNext w:val="0"/>
        <w:keepLines w:val="0"/>
        <w:pageBreakBefore w:val="0"/>
        <w:shd w:val="clear" w:color="auto" w:fill="auto"/>
        <w:tabs>
          <w:tab w:val="left" w:pos="1134"/>
        </w:tabs>
        <w:spacing w:line="440" w:lineRule="exact"/>
        <w:ind w:left="1134" w:firstLine="0"/>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27CAA34B">
      <w:pPr>
        <w:pStyle w:val="430"/>
        <w:keepNext w:val="0"/>
        <w:keepLines w:val="0"/>
        <w:pageBreakBefore w:val="0"/>
        <w:shd w:val="clear" w:color="auto" w:fill="auto"/>
        <w:tabs>
          <w:tab w:val="left" w:pos="1134"/>
        </w:tabs>
        <w:spacing w:line="440" w:lineRule="exact"/>
        <w:ind w:left="1134" w:firstLine="0"/>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2.有关本次招标的事项若存在变动或修改，敬请及时关注采购代理机构在 “中国政府采购网”、“江苏政府采购网”、“盐城市政府采购网”发布的更正公告。</w:t>
      </w:r>
    </w:p>
    <w:p w14:paraId="49A99F7F">
      <w:pPr>
        <w:pStyle w:val="430"/>
        <w:keepNext w:val="0"/>
        <w:keepLines w:val="0"/>
        <w:pageBreakBefore w:val="0"/>
        <w:shd w:val="clear" w:color="auto" w:fill="auto"/>
        <w:tabs>
          <w:tab w:val="left" w:pos="1134"/>
        </w:tabs>
        <w:spacing w:line="440" w:lineRule="exact"/>
        <w:ind w:left="1134" w:firstLine="0"/>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3.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p>
    <w:p w14:paraId="2C08DB2E">
      <w:pPr>
        <w:pStyle w:val="430"/>
        <w:keepNext w:val="0"/>
        <w:keepLines w:val="0"/>
        <w:pageBreakBefore w:val="0"/>
        <w:shd w:val="clear" w:color="auto" w:fill="auto"/>
        <w:tabs>
          <w:tab w:val="left" w:pos="1134"/>
        </w:tabs>
        <w:spacing w:line="440" w:lineRule="exact"/>
        <w:ind w:left="1134" w:firstLine="0"/>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4.本项目支持节能环保产品 (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p>
    <w:p w14:paraId="406403F9">
      <w:pPr>
        <w:pStyle w:val="430"/>
        <w:keepNext w:val="0"/>
        <w:keepLines w:val="0"/>
        <w:pageBreakBefore w:val="0"/>
        <w:shd w:val="clear" w:color="auto" w:fill="auto"/>
        <w:tabs>
          <w:tab w:val="left" w:pos="1134"/>
        </w:tabs>
        <w:spacing w:line="440" w:lineRule="exact"/>
        <w:ind w:left="1134" w:firstLine="0"/>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lang w:val="en-US" w:eastAsia="zh-CN"/>
        </w:rPr>
        <w:t>5.</w:t>
      </w:r>
      <w:r>
        <w:rPr>
          <w:rFonts w:hint="eastAsia" w:ascii="宋体" w:hAnsi="宋体" w:eastAsia="宋体" w:cs="Times New Roman"/>
          <w:bCs/>
          <w:color w:val="auto"/>
          <w:sz w:val="24"/>
          <w:szCs w:val="20"/>
          <w:highlight w:val="none"/>
        </w:rPr>
        <w:t>各投标人在投标截止时间前应当每天都上网查询，以便获取更新的澄清、修改、补充内容。凡涉及到该项目的补充说明和修改，均以江苏政府采购网上的更正或补充通知为准。</w:t>
      </w:r>
    </w:p>
    <w:p w14:paraId="131DAFD1">
      <w:pPr>
        <w:pStyle w:val="430"/>
        <w:keepNext w:val="0"/>
        <w:keepLines w:val="0"/>
        <w:pageBreakBefore w:val="0"/>
        <w:shd w:val="clear" w:color="auto" w:fill="auto"/>
        <w:tabs>
          <w:tab w:val="left" w:pos="1134"/>
        </w:tabs>
        <w:spacing w:line="440" w:lineRule="exact"/>
        <w:ind w:left="1134" w:firstLine="0"/>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lang w:val="en-US" w:eastAsia="zh-CN"/>
        </w:rPr>
        <w:t>6.</w:t>
      </w:r>
      <w:r>
        <w:rPr>
          <w:rFonts w:hint="eastAsia" w:ascii="宋体" w:hAnsi="宋体" w:eastAsia="宋体" w:cs="Times New Roman"/>
          <w:bCs/>
          <w:color w:val="auto"/>
          <w:sz w:val="24"/>
          <w:szCs w:val="20"/>
          <w:highlight w:val="none"/>
        </w:rPr>
        <w:t>因供应商的系统环境、操作等原因导致报名、开评标过程中出现问题由供应商自行承担负责。</w:t>
      </w:r>
    </w:p>
    <w:p w14:paraId="6490D9C8">
      <w:pPr>
        <w:pStyle w:val="430"/>
        <w:shd w:val="clear" w:color="auto"/>
        <w:tabs>
          <w:tab w:val="left" w:pos="1134"/>
        </w:tabs>
        <w:spacing w:line="440" w:lineRule="exact"/>
        <w:ind w:left="1134" w:firstLine="0"/>
        <w:rPr>
          <w:rFonts w:hint="eastAsia" w:ascii="宋体" w:hAnsi="宋体" w:eastAsia="宋体" w:cs="Times New Roman"/>
          <w:bCs/>
          <w:color w:val="auto"/>
          <w:sz w:val="24"/>
          <w:szCs w:val="20"/>
        </w:rPr>
      </w:pPr>
      <w:r>
        <w:rPr>
          <w:rFonts w:hint="eastAsia" w:ascii="宋体" w:hAnsi="宋体" w:eastAsia="宋体" w:cs="Times New Roman"/>
          <w:bCs/>
          <w:color w:val="auto"/>
          <w:sz w:val="24"/>
          <w:szCs w:val="20"/>
          <w:lang w:val="en-US" w:eastAsia="zh-CN"/>
        </w:rPr>
        <w:t>7.根据苏财购[2025]62号文件，评审委员会启动异常低价投标 （响应）审查的情形和具体要求，包括：</w:t>
      </w:r>
    </w:p>
    <w:p w14:paraId="47594113">
      <w:pPr>
        <w:pStyle w:val="430"/>
        <w:tabs>
          <w:tab w:val="left" w:pos="1134"/>
        </w:tabs>
        <w:spacing w:line="312" w:lineRule="auto"/>
        <w:ind w:left="1134" w:firstLine="48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（一）评审过程中出现下列情形之一的，评审委员会应当启动异常低价投标（响应）审查程序： </w:t>
      </w:r>
    </w:p>
    <w:p w14:paraId="36D930DF">
      <w:pPr>
        <w:pStyle w:val="430"/>
        <w:tabs>
          <w:tab w:val="left" w:pos="1134"/>
        </w:tabs>
        <w:spacing w:line="312" w:lineRule="auto"/>
        <w:ind w:left="1134" w:firstLine="48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1．投标（响应）报价低于采购项目预算50% 的，即投标（响应）报价&lt;采购项目预算×50% ； </w:t>
      </w:r>
    </w:p>
    <w:p w14:paraId="5B4AB4A1">
      <w:pPr>
        <w:pStyle w:val="430"/>
        <w:tabs>
          <w:tab w:val="left" w:pos="1134"/>
        </w:tabs>
        <w:spacing w:line="312" w:lineRule="auto"/>
        <w:ind w:left="1134" w:firstLine="48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2．投标（响应）报价低于采购项目最高限价 45% 的，即投标（响应）报价&lt;采购项目最高限价×45% ； </w:t>
      </w:r>
    </w:p>
    <w:p w14:paraId="59BFD5E0">
      <w:pPr>
        <w:pStyle w:val="430"/>
        <w:tabs>
          <w:tab w:val="left" w:pos="1134"/>
        </w:tabs>
        <w:spacing w:line="312" w:lineRule="auto"/>
        <w:ind w:left="1134" w:firstLine="48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3．评审委员会认定的供应商报价过低、有可能影响产品质量或者不能诚信履约的其他情形。 </w:t>
      </w:r>
    </w:p>
    <w:p w14:paraId="7B61059D">
      <w:pPr>
        <w:pStyle w:val="430"/>
        <w:tabs>
          <w:tab w:val="left" w:pos="1134"/>
        </w:tabs>
        <w:spacing w:line="312" w:lineRule="auto"/>
        <w:ind w:left="1134" w:firstLine="480"/>
        <w:rPr>
          <w:rFonts w:hint="eastAsia" w:ascii="宋体" w:hAnsi="宋体" w:eastAsia="宋体" w:cs="Times New Roman"/>
          <w:bCs/>
          <w:color w:val="auto"/>
          <w:sz w:val="24"/>
          <w:szCs w:val="20"/>
          <w:highlight w:val="none"/>
        </w:rPr>
      </w:pPr>
      <w:r>
        <w:rPr>
          <w:rFonts w:hint="default" w:ascii="宋体" w:hAnsi="宋体" w:eastAsia="宋体" w:cs="宋体"/>
          <w:color w:val="auto"/>
          <w:sz w:val="24"/>
          <w:szCs w:val="24"/>
          <w:highlight w:val="none"/>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2CE868D">
      <w:pPr>
        <w:pStyle w:val="430"/>
        <w:keepNext w:val="0"/>
        <w:keepLines w:val="0"/>
        <w:pageBreakBefore w:val="0"/>
        <w:numPr>
          <w:ilvl w:val="0"/>
          <w:numId w:val="5"/>
        </w:numPr>
        <w:shd w:val="clear" w:color="auto" w:fill="auto"/>
        <w:tabs>
          <w:tab w:val="left" w:pos="1276"/>
        </w:tabs>
        <w:spacing w:line="440" w:lineRule="exact"/>
        <w:ind w:firstLine="720"/>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对本次招标提出询问，请按以下方式联系。</w:t>
      </w:r>
      <w:bookmarkEnd w:id="10"/>
    </w:p>
    <w:p w14:paraId="13974137">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1.采购人信息</w:t>
      </w:r>
    </w:p>
    <w:p w14:paraId="5A66905F">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名称：</w:t>
      </w:r>
      <w:r>
        <w:rPr>
          <w:rFonts w:hint="eastAsia" w:hAnsi="宋体" w:cs="宋体"/>
          <w:color w:val="auto"/>
          <w:szCs w:val="24"/>
          <w:highlight w:val="none"/>
          <w:lang w:eastAsia="zh-CN"/>
        </w:rPr>
        <w:t>滨海县人民医院</w:t>
      </w:r>
      <w:r>
        <w:rPr>
          <w:rFonts w:hint="eastAsia" w:hAnsi="宋体" w:cs="宋体"/>
          <w:color w:val="auto"/>
          <w:szCs w:val="24"/>
          <w:highlight w:val="none"/>
        </w:rPr>
        <w:t xml:space="preserve">        </w:t>
      </w:r>
    </w:p>
    <w:p w14:paraId="240047C2">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地址：</w:t>
      </w:r>
      <w:r>
        <w:rPr>
          <w:rFonts w:hint="eastAsia" w:ascii="宋体" w:hAnsi="宋体" w:eastAsia="宋体" w:cs="宋体"/>
          <w:color w:val="auto"/>
          <w:sz w:val="24"/>
          <w:szCs w:val="24"/>
          <w:highlight w:val="none"/>
          <w:shd w:val="clear" w:color="auto" w:fill="auto"/>
          <w:lang w:eastAsia="zh-CN"/>
        </w:rPr>
        <w:t>滨海县</w:t>
      </w:r>
      <w:r>
        <w:rPr>
          <w:rFonts w:hint="eastAsia" w:ascii="宋体" w:hAnsi="宋体" w:eastAsia="宋体" w:cs="宋体"/>
          <w:color w:val="auto"/>
          <w:sz w:val="24"/>
          <w:szCs w:val="24"/>
          <w:highlight w:val="none"/>
          <w:shd w:val="clear" w:color="auto" w:fill="auto"/>
          <w:lang w:val="en-US" w:eastAsia="zh-CN"/>
        </w:rPr>
        <w:t>海滨</w:t>
      </w:r>
      <w:r>
        <w:rPr>
          <w:rFonts w:hint="eastAsia" w:ascii="宋体" w:hAnsi="宋体" w:eastAsia="宋体" w:cs="宋体"/>
          <w:color w:val="auto"/>
          <w:sz w:val="24"/>
          <w:szCs w:val="24"/>
          <w:highlight w:val="none"/>
          <w:shd w:val="clear" w:color="auto" w:fill="auto"/>
          <w:lang w:eastAsia="zh-CN"/>
        </w:rPr>
        <w:t>大道299号</w:t>
      </w:r>
    </w:p>
    <w:p w14:paraId="277D8C51">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联系方式：</w:t>
      </w:r>
      <w:r>
        <w:rPr>
          <w:rFonts w:hint="eastAsia" w:hAnsi="宋体" w:cs="宋体"/>
          <w:color w:val="auto"/>
          <w:szCs w:val="24"/>
          <w:highlight w:val="none"/>
          <w:lang w:val="en-US" w:eastAsia="zh-CN"/>
        </w:rPr>
        <w:t>0515-84222979</w:t>
      </w:r>
    </w:p>
    <w:p w14:paraId="5E0C6BE3">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2.采购代理机构信息</w:t>
      </w:r>
    </w:p>
    <w:p w14:paraId="2022825C">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名称：江苏弘业国际技术工程有限公司</w:t>
      </w:r>
    </w:p>
    <w:p w14:paraId="6C8778E0">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地址：南京市中华路50号弘业大厦10楼1008室</w:t>
      </w:r>
    </w:p>
    <w:p w14:paraId="7DFD5D65">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联系方式：025-52278761</w:t>
      </w:r>
    </w:p>
    <w:p w14:paraId="1C589BAE">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传  真：025-52278761</w:t>
      </w:r>
    </w:p>
    <w:p w14:paraId="6B352B5F">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3.项目联系方式</w:t>
      </w:r>
    </w:p>
    <w:p w14:paraId="276BFB2E">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项目联系人：</w:t>
      </w:r>
      <w:r>
        <w:rPr>
          <w:rFonts w:hint="eastAsia" w:hAnsi="宋体" w:cs="宋体"/>
          <w:color w:val="auto"/>
          <w:szCs w:val="24"/>
          <w:highlight w:val="none"/>
          <w:lang w:val="en-US" w:eastAsia="zh-CN"/>
        </w:rPr>
        <w:t>徐老师</w:t>
      </w:r>
      <w:r>
        <w:rPr>
          <w:rFonts w:hint="eastAsia" w:hAnsi="宋体" w:cs="宋体"/>
          <w:color w:val="auto"/>
          <w:szCs w:val="24"/>
          <w:highlight w:val="none"/>
          <w:lang w:eastAsia="zh-CN"/>
        </w:rPr>
        <w:t>（</w:t>
      </w:r>
      <w:r>
        <w:rPr>
          <w:rFonts w:hint="eastAsia" w:hAnsi="宋体" w:cs="宋体"/>
          <w:color w:val="auto"/>
          <w:szCs w:val="24"/>
          <w:highlight w:val="none"/>
          <w:lang w:val="en-US" w:eastAsia="zh-CN"/>
        </w:rPr>
        <w:t>项目负责人</w:t>
      </w:r>
      <w:r>
        <w:rPr>
          <w:rFonts w:hint="eastAsia" w:hAnsi="宋体" w:cs="宋体"/>
          <w:color w:val="auto"/>
          <w:szCs w:val="24"/>
          <w:highlight w:val="none"/>
          <w:lang w:eastAsia="zh-CN"/>
        </w:rPr>
        <w:t>）</w:t>
      </w:r>
      <w:r>
        <w:rPr>
          <w:rFonts w:hint="eastAsia" w:hAnsi="宋体" w:cs="宋体"/>
          <w:color w:val="auto"/>
          <w:szCs w:val="24"/>
          <w:highlight w:val="none"/>
          <w:lang w:val="en-US" w:eastAsia="zh-CN"/>
        </w:rPr>
        <w:t xml:space="preserve">   刘女士（商务）</w:t>
      </w:r>
      <w:r>
        <w:rPr>
          <w:rFonts w:hint="eastAsia" w:hAnsi="宋体" w:cs="宋体"/>
          <w:color w:val="auto"/>
          <w:szCs w:val="24"/>
          <w:highlight w:val="none"/>
        </w:rPr>
        <w:t xml:space="preserve">  </w:t>
      </w:r>
    </w:p>
    <w:p w14:paraId="35159CA0">
      <w:pPr>
        <w:pStyle w:val="247"/>
        <w:keepNext w:val="0"/>
        <w:keepLines w:val="0"/>
        <w:pageBreakBefore w:val="0"/>
        <w:shd w:val="clear" w:color="auto" w:fill="auto"/>
        <w:spacing w:before="0" w:beforeAutospacing="0" w:after="0" w:afterAutospacing="0" w:line="440" w:lineRule="exact"/>
        <w:ind w:firstLine="1200"/>
        <w:outlineLvl w:val="1"/>
        <w:rPr>
          <w:rFonts w:hint="eastAsia" w:hAnsi="宋体" w:cs="宋体"/>
          <w:color w:val="auto"/>
          <w:szCs w:val="24"/>
          <w:highlight w:val="none"/>
        </w:rPr>
      </w:pPr>
      <w:r>
        <w:rPr>
          <w:rFonts w:hint="eastAsia" w:hAnsi="宋体" w:cs="宋体"/>
          <w:color w:val="auto"/>
          <w:szCs w:val="24"/>
          <w:highlight w:val="none"/>
        </w:rPr>
        <w:t>电话：</w:t>
      </w:r>
      <w:r>
        <w:rPr>
          <w:rFonts w:hint="eastAsia" w:hAnsi="宋体" w:cs="宋体"/>
          <w:color w:val="auto"/>
          <w:szCs w:val="24"/>
          <w:highlight w:val="none"/>
          <w:lang w:val="en-US" w:eastAsia="zh-CN"/>
        </w:rPr>
        <w:t xml:space="preserve"> 15189217050</w:t>
      </w:r>
      <w:r>
        <w:rPr>
          <w:rFonts w:hint="eastAsia" w:hAnsi="宋体" w:cs="宋体"/>
          <w:color w:val="auto"/>
          <w:szCs w:val="24"/>
          <w:highlight w:val="none"/>
        </w:rPr>
        <w:t xml:space="preserve">                              </w:t>
      </w:r>
      <w:bookmarkStart w:id="11" w:name="_Toc25617"/>
      <w:bookmarkEnd w:id="11"/>
    </w:p>
    <w:p w14:paraId="5795970A">
      <w:pPr>
        <w:shd w:val="clear" w:color="auto" w:fill="auto"/>
        <w:jc w:val="center"/>
        <w:outlineLvl w:val="0"/>
        <w:rPr>
          <w:rFonts w:hint="eastAsia"/>
          <w:b/>
          <w:color w:val="auto"/>
          <w:sz w:val="44"/>
          <w:szCs w:val="44"/>
          <w:highlight w:val="none"/>
        </w:rPr>
      </w:pPr>
      <w:bookmarkStart w:id="12" w:name="_Toc1881"/>
      <w:r>
        <w:rPr>
          <w:rFonts w:hint="eastAsia"/>
          <w:b/>
          <w:color w:val="auto"/>
          <w:sz w:val="44"/>
          <w:szCs w:val="44"/>
          <w:highlight w:val="none"/>
        </w:rPr>
        <w:br w:type="page" w:clear="all"/>
      </w:r>
      <w:r>
        <w:rPr>
          <w:rFonts w:hint="eastAsia"/>
          <w:b/>
          <w:color w:val="auto"/>
          <w:sz w:val="44"/>
          <w:szCs w:val="44"/>
          <w:highlight w:val="none"/>
        </w:rPr>
        <w:t>第二部分  投标人须知</w:t>
      </w:r>
      <w:bookmarkEnd w:id="12"/>
    </w:p>
    <w:p w14:paraId="0D68274F">
      <w:pPr>
        <w:pStyle w:val="183"/>
        <w:keepNext w:val="0"/>
        <w:keepLines w:val="0"/>
        <w:shd w:val="clear" w:color="auto" w:fill="auto"/>
        <w:jc w:val="center"/>
        <w:rPr>
          <w:rFonts w:hint="eastAsia"/>
          <w:color w:val="auto"/>
          <w:highlight w:val="none"/>
        </w:rPr>
      </w:pPr>
      <w:bookmarkStart w:id="13" w:name="_Toc514054471"/>
      <w:bookmarkStart w:id="14" w:name="_Toc17705"/>
      <w:r>
        <w:rPr>
          <w:rFonts w:hint="eastAsia"/>
          <w:color w:val="auto"/>
          <w:highlight w:val="none"/>
        </w:rPr>
        <w:t>投标人须知前附表</w:t>
      </w:r>
      <w:bookmarkEnd w:id="13"/>
      <w:bookmarkEnd w:id="14"/>
    </w:p>
    <w:tbl>
      <w:tblPr>
        <w:tblStyle w:val="31"/>
        <w:tblW w:w="9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8"/>
        <w:gridCol w:w="2184"/>
        <w:gridCol w:w="6888"/>
      </w:tblGrid>
      <w:tr w14:paraId="08FB0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28" w:type="dxa"/>
            <w:noWrap w:val="0"/>
            <w:vAlign w:val="center"/>
          </w:tcPr>
          <w:p w14:paraId="6C53FA2C">
            <w:pPr>
              <w:shd w:val="clear" w:color="auto" w:fill="auto"/>
              <w:jc w:val="center"/>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序号</w:t>
            </w:r>
          </w:p>
        </w:tc>
        <w:tc>
          <w:tcPr>
            <w:tcW w:w="2184" w:type="dxa"/>
            <w:noWrap w:val="0"/>
            <w:vAlign w:val="center"/>
          </w:tcPr>
          <w:p w14:paraId="49FA9FA6">
            <w:pPr>
              <w:shd w:val="clear" w:color="auto" w:fill="auto"/>
              <w:jc w:val="center"/>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内容</w:t>
            </w:r>
          </w:p>
        </w:tc>
        <w:tc>
          <w:tcPr>
            <w:tcW w:w="6888" w:type="dxa"/>
            <w:noWrap w:val="0"/>
            <w:vAlign w:val="center"/>
          </w:tcPr>
          <w:p w14:paraId="173FF6F9">
            <w:pPr>
              <w:shd w:val="clear" w:color="auto" w:fill="auto"/>
              <w:jc w:val="center"/>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说明及要求</w:t>
            </w:r>
          </w:p>
        </w:tc>
      </w:tr>
      <w:tr w14:paraId="5EB15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28" w:type="dxa"/>
            <w:noWrap w:val="0"/>
            <w:vAlign w:val="center"/>
          </w:tcPr>
          <w:p w14:paraId="3B4C8AC8">
            <w:pPr>
              <w:shd w:val="clear" w:color="auto" w:fill="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184" w:type="dxa"/>
            <w:noWrap w:val="0"/>
            <w:vAlign w:val="center"/>
          </w:tcPr>
          <w:p w14:paraId="3CB31C75">
            <w:pPr>
              <w:shd w:val="clear" w:color="auto" w:fill="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特别说明</w:t>
            </w:r>
          </w:p>
        </w:tc>
        <w:tc>
          <w:tcPr>
            <w:tcW w:w="6888" w:type="dxa"/>
            <w:noWrap w:val="0"/>
            <w:vAlign w:val="center"/>
          </w:tcPr>
          <w:p w14:paraId="7CE7B546">
            <w:pPr>
              <w:shd w:val="clear" w:color="auto" w:fill="auto"/>
              <w:rPr>
                <w:rFonts w:hint="eastAsia" w:ascii="宋体" w:hAnsi="宋体" w:cs="宋体"/>
                <w:color w:val="auto"/>
                <w:sz w:val="24"/>
                <w:szCs w:val="24"/>
                <w:highlight w:val="none"/>
              </w:rPr>
            </w:pPr>
            <w:r>
              <w:rPr>
                <w:rFonts w:hint="eastAsia" w:ascii="宋体" w:hAnsi="宋体" w:cs="宋体"/>
                <w:b/>
                <w:bCs/>
                <w:color w:val="auto"/>
                <w:sz w:val="24"/>
                <w:szCs w:val="24"/>
                <w:highlight w:val="none"/>
              </w:rPr>
              <w:t>若有内容与投标人须知前附表内容不一致时，以投标人须知前附表为准。</w:t>
            </w:r>
          </w:p>
        </w:tc>
      </w:tr>
      <w:tr w14:paraId="269DD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28" w:type="dxa"/>
            <w:noWrap w:val="0"/>
            <w:vAlign w:val="center"/>
          </w:tcPr>
          <w:p w14:paraId="422CB1A6">
            <w:pPr>
              <w:shd w:val="clear" w:color="auto" w:fill="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184" w:type="dxa"/>
            <w:noWrap w:val="0"/>
            <w:vAlign w:val="center"/>
          </w:tcPr>
          <w:p w14:paraId="7211809C">
            <w:pPr>
              <w:shd w:val="clear" w:color="auto" w:fill="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888" w:type="dxa"/>
            <w:noWrap w:val="0"/>
            <w:vAlign w:val="center"/>
          </w:tcPr>
          <w:p w14:paraId="1100FB8E">
            <w:pPr>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本项目不收取投标保证金</w:t>
            </w:r>
          </w:p>
        </w:tc>
      </w:tr>
      <w:tr w14:paraId="216E7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28" w:type="dxa"/>
            <w:noWrap w:val="0"/>
            <w:vAlign w:val="center"/>
          </w:tcPr>
          <w:p w14:paraId="1C1DC878">
            <w:pPr>
              <w:shd w:val="clear" w:color="auto" w:fill="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184" w:type="dxa"/>
            <w:noWrap w:val="0"/>
            <w:vAlign w:val="center"/>
          </w:tcPr>
          <w:p w14:paraId="2AD238F1">
            <w:pPr>
              <w:shd w:val="clear" w:color="auto" w:fill="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888" w:type="dxa"/>
            <w:noWrap w:val="0"/>
            <w:vAlign w:val="center"/>
          </w:tcPr>
          <w:p w14:paraId="089CE7FE">
            <w:pPr>
              <w:widowControl/>
              <w:shd w:val="clear" w:color="auto" w:fill="auto"/>
              <w:rPr>
                <w:rFonts w:hint="eastAsia" w:ascii="宋体" w:hAnsi="宋体" w:cs="宋体"/>
                <w:color w:val="auto"/>
                <w:sz w:val="24"/>
                <w:szCs w:val="24"/>
                <w:highlight w:val="none"/>
              </w:rPr>
            </w:pPr>
            <w:bookmarkStart w:id="15" w:name="EBd40b5fb42f2944a3b45e579ce3941f02"/>
            <w:r>
              <w:rPr>
                <w:rFonts w:hint="eastAsia" w:ascii="宋体" w:hAnsi="宋体" w:cs="宋体"/>
                <w:color w:val="auto"/>
                <w:sz w:val="24"/>
                <w:szCs w:val="24"/>
                <w:highlight w:val="none"/>
              </w:rPr>
              <w:t>90</w:t>
            </w:r>
            <w:bookmarkEnd w:id="15"/>
            <w:r>
              <w:rPr>
                <w:rFonts w:hint="eastAsia" w:ascii="宋体" w:hAnsi="宋体" w:cs="宋体"/>
                <w:color w:val="auto"/>
                <w:sz w:val="24"/>
                <w:szCs w:val="24"/>
                <w:highlight w:val="none"/>
              </w:rPr>
              <w:t>日（从提交投标文件截止之日起算）</w:t>
            </w:r>
          </w:p>
        </w:tc>
      </w:tr>
      <w:tr w14:paraId="046D3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28" w:type="dxa"/>
            <w:noWrap w:val="0"/>
            <w:vAlign w:val="center"/>
          </w:tcPr>
          <w:p w14:paraId="43564ACA">
            <w:pPr>
              <w:shd w:val="clear" w:color="auto" w:fill="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p>
        </w:tc>
        <w:tc>
          <w:tcPr>
            <w:tcW w:w="2184" w:type="dxa"/>
            <w:noWrap w:val="0"/>
            <w:vAlign w:val="center"/>
          </w:tcPr>
          <w:p w14:paraId="198ECF67">
            <w:pPr>
              <w:shd w:val="clear" w:color="auto" w:fill="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888" w:type="dxa"/>
            <w:noWrap w:val="0"/>
            <w:vAlign w:val="center"/>
          </w:tcPr>
          <w:p w14:paraId="0C0480FC">
            <w:pPr>
              <w:widowControl/>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p w14:paraId="2E3F789D">
            <w:pPr>
              <w:widowControl/>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具体评标办法详见招标文件第三部分。</w:t>
            </w:r>
          </w:p>
          <w:p w14:paraId="2A6763B1">
            <w:pPr>
              <w:widowControl/>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评标委员会按照招标文件规定的评标办法和标准，确定各投标人经评审后的得分，并按得分由高到低进行排序。</w:t>
            </w:r>
          </w:p>
        </w:tc>
      </w:tr>
      <w:tr w14:paraId="47DE7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jc w:val="center"/>
        </w:trPr>
        <w:tc>
          <w:tcPr>
            <w:tcW w:w="628" w:type="dxa"/>
            <w:noWrap w:val="0"/>
            <w:vAlign w:val="center"/>
          </w:tcPr>
          <w:p w14:paraId="7F1D9529">
            <w:pPr>
              <w:shd w:val="clear" w:color="auto" w:fill="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p>
        </w:tc>
        <w:tc>
          <w:tcPr>
            <w:tcW w:w="2184" w:type="dxa"/>
            <w:noWrap w:val="0"/>
            <w:vAlign w:val="center"/>
          </w:tcPr>
          <w:p w14:paraId="40E53562">
            <w:pPr>
              <w:shd w:val="clear" w:color="auto" w:fill="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中标通知书领取</w:t>
            </w:r>
          </w:p>
        </w:tc>
        <w:tc>
          <w:tcPr>
            <w:tcW w:w="6888" w:type="dxa"/>
            <w:noWrap w:val="0"/>
            <w:vAlign w:val="center"/>
          </w:tcPr>
          <w:p w14:paraId="1758A929">
            <w:pPr>
              <w:widowControl/>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领取地址：</w:t>
            </w:r>
            <w:r>
              <w:rPr>
                <w:rFonts w:hint="eastAsia" w:ascii="宋体" w:hAnsi="宋体" w:eastAsia="宋体" w:cs="宋体"/>
                <w:color w:val="auto"/>
                <w:sz w:val="24"/>
                <w:szCs w:val="24"/>
                <w:highlight w:val="none"/>
              </w:rPr>
              <w:t>南京市中华路50号弘业大厦</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楼</w:t>
            </w:r>
          </w:p>
          <w:p w14:paraId="618F4F47">
            <w:pPr>
              <w:widowControl/>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需提供材料：中标服务费缴纳截图</w:t>
            </w:r>
          </w:p>
        </w:tc>
      </w:tr>
      <w:tr w14:paraId="4C8AD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28" w:type="dxa"/>
            <w:noWrap w:val="0"/>
            <w:vAlign w:val="center"/>
          </w:tcPr>
          <w:p w14:paraId="1C36236A">
            <w:pPr>
              <w:shd w:val="clear" w:color="auto" w:fill="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p>
        </w:tc>
        <w:tc>
          <w:tcPr>
            <w:tcW w:w="2184" w:type="dxa"/>
            <w:noWrap w:val="0"/>
            <w:vAlign w:val="center"/>
          </w:tcPr>
          <w:p w14:paraId="3866BC8C">
            <w:pPr>
              <w:shd w:val="clear" w:color="auto" w:fill="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中标服务费的收取</w:t>
            </w:r>
          </w:p>
        </w:tc>
        <w:tc>
          <w:tcPr>
            <w:tcW w:w="6888" w:type="dxa"/>
            <w:noWrap w:val="0"/>
            <w:vAlign w:val="center"/>
          </w:tcPr>
          <w:p w14:paraId="47707372">
            <w:pPr>
              <w:widowControl/>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本项目中标服务费</w:t>
            </w:r>
            <w:r>
              <w:rPr>
                <w:rFonts w:hint="eastAsia" w:ascii="宋体" w:hAnsi="宋体" w:eastAsia="宋体" w:cs="宋体"/>
                <w:color w:val="auto"/>
                <w:sz w:val="24"/>
                <w:szCs w:val="24"/>
                <w:highlight w:val="none"/>
                <w:lang w:val="en-US" w:eastAsia="zh-CN"/>
              </w:rPr>
              <w:t>参照苏招协【2022】002号文收费标准的27%收取</w:t>
            </w:r>
            <w:r>
              <w:rPr>
                <w:rFonts w:hint="eastAsia" w:ascii="宋体" w:hAnsi="宋体" w:cs="宋体"/>
                <w:color w:val="auto"/>
                <w:sz w:val="24"/>
                <w:szCs w:val="24"/>
                <w:highlight w:val="none"/>
              </w:rPr>
              <w:t>，中标人应在领取中标通知书前缴纳。</w:t>
            </w:r>
          </w:p>
          <w:p w14:paraId="416FFBD6">
            <w:pPr>
              <w:widowControl/>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账户信息：</w:t>
            </w:r>
          </w:p>
          <w:p w14:paraId="2A1DB2F8">
            <w:pPr>
              <w:widowControl/>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户    名：</w:t>
            </w:r>
            <w:r>
              <w:rPr>
                <w:rFonts w:hint="eastAsia" w:ascii="宋体" w:hAnsi="宋体" w:eastAsia="宋体" w:cs="宋体"/>
                <w:color w:val="auto"/>
                <w:sz w:val="24"/>
                <w:szCs w:val="24"/>
                <w:highlight w:val="none"/>
              </w:rPr>
              <w:t>江苏弘业国际技术工程有限公司</w:t>
            </w:r>
          </w:p>
          <w:p w14:paraId="0D3F1AF5">
            <w:pPr>
              <w:widowControl/>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开户银行：</w:t>
            </w:r>
            <w:r>
              <w:rPr>
                <w:rFonts w:hint="eastAsia" w:ascii="宋体" w:hAnsi="宋体" w:eastAsia="宋体" w:cs="宋体"/>
                <w:color w:val="auto"/>
                <w:sz w:val="24"/>
                <w:szCs w:val="24"/>
                <w:highlight w:val="none"/>
              </w:rPr>
              <w:t>中国银行南京市中华路支行</w:t>
            </w:r>
            <w:r>
              <w:rPr>
                <w:rFonts w:hint="eastAsia" w:ascii="宋体" w:hAnsi="宋体" w:cs="宋体"/>
                <w:color w:val="auto"/>
                <w:sz w:val="24"/>
                <w:szCs w:val="24"/>
                <w:highlight w:val="none"/>
              </w:rPr>
              <w:t xml:space="preserve">   </w:t>
            </w:r>
          </w:p>
          <w:p w14:paraId="4420BF65">
            <w:pPr>
              <w:widowControl/>
              <w:shd w:val="clear" w:color="auto" w:fill="auto"/>
              <w:rPr>
                <w:rFonts w:hint="eastAsia"/>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    号：</w:t>
            </w:r>
            <w:r>
              <w:rPr>
                <w:rFonts w:hint="eastAsia" w:ascii="宋体" w:hAnsi="宋体" w:eastAsia="宋体" w:cs="宋体"/>
                <w:color w:val="auto"/>
                <w:sz w:val="24"/>
                <w:szCs w:val="24"/>
                <w:highlight w:val="none"/>
              </w:rPr>
              <w:t>527460884999</w:t>
            </w:r>
          </w:p>
        </w:tc>
      </w:tr>
      <w:tr w14:paraId="218A8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628" w:type="dxa"/>
            <w:noWrap w:val="0"/>
            <w:vAlign w:val="center"/>
          </w:tcPr>
          <w:p w14:paraId="5AE511EC">
            <w:pPr>
              <w:shd w:val="clear" w:color="auto" w:fill="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p>
        </w:tc>
        <w:tc>
          <w:tcPr>
            <w:tcW w:w="2184" w:type="dxa"/>
            <w:noWrap w:val="0"/>
            <w:vAlign w:val="center"/>
          </w:tcPr>
          <w:p w14:paraId="0A003A97">
            <w:pPr>
              <w:shd w:val="clear" w:color="auto" w:fill="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888" w:type="dxa"/>
            <w:noWrap w:val="0"/>
            <w:vAlign w:val="center"/>
          </w:tcPr>
          <w:p w14:paraId="6929A9D8">
            <w:pPr>
              <w:shd w:val="clear" w:color="auto" w:fill="auto"/>
              <w:rPr>
                <w:rFonts w:eastAsia="宋体"/>
                <w:color w:val="auto"/>
                <w:highlight w:val="none"/>
              </w:rPr>
            </w:pPr>
            <w:r>
              <w:rPr>
                <w:rFonts w:hint="eastAsia" w:ascii="宋体" w:hAnsi="宋体" w:cs="宋体"/>
                <w:color w:val="auto"/>
                <w:sz w:val="24"/>
                <w:szCs w:val="24"/>
                <w:highlight w:val="none"/>
              </w:rPr>
              <w:t>本项目</w:t>
            </w:r>
            <w:r>
              <w:rPr>
                <w:rFonts w:hint="eastAsia" w:ascii="宋体" w:hAnsi="宋体"/>
                <w:color w:val="auto"/>
                <w:sz w:val="24"/>
                <w:highlight w:val="none"/>
                <w:shd w:val="clear" w:color="auto" w:fill="auto"/>
              </w:rPr>
              <w:t>履约保证金的数额为合同金额的</w:t>
            </w:r>
            <w:r>
              <w:rPr>
                <w:rFonts w:hint="eastAsia" w:ascii="宋体" w:hAnsi="宋体"/>
                <w:color w:val="auto"/>
                <w:sz w:val="24"/>
                <w:highlight w:val="none"/>
                <w:shd w:val="clear" w:color="auto" w:fill="auto"/>
                <w:lang w:val="en-US" w:eastAsia="zh-CN"/>
              </w:rPr>
              <w:t>10</w:t>
            </w:r>
            <w:r>
              <w:rPr>
                <w:rFonts w:hint="eastAsia" w:ascii="宋体" w:hAnsi="宋体"/>
                <w:color w:val="auto"/>
                <w:sz w:val="24"/>
                <w:highlight w:val="none"/>
                <w:shd w:val="clear" w:color="auto" w:fill="auto"/>
              </w:rPr>
              <w:t>%</w:t>
            </w:r>
          </w:p>
        </w:tc>
      </w:tr>
      <w:tr w14:paraId="18367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jc w:val="center"/>
        </w:trPr>
        <w:tc>
          <w:tcPr>
            <w:tcW w:w="628" w:type="dxa"/>
            <w:noWrap w:val="0"/>
            <w:vAlign w:val="center"/>
          </w:tcPr>
          <w:p w14:paraId="347B70EA">
            <w:pPr>
              <w:shd w:val="clear" w:color="auto" w:fill="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p>
        </w:tc>
        <w:tc>
          <w:tcPr>
            <w:tcW w:w="2184" w:type="dxa"/>
            <w:noWrap w:val="0"/>
            <w:vAlign w:val="center"/>
          </w:tcPr>
          <w:p w14:paraId="5FB6E5B6">
            <w:pPr>
              <w:shd w:val="clear" w:color="auto" w:fill="auto"/>
              <w:jc w:val="center"/>
              <w:rPr>
                <w:rFonts w:ascii="宋体" w:hAnsi="宋体" w:cs="宋体"/>
                <w:color w:val="auto"/>
                <w:sz w:val="24"/>
                <w:szCs w:val="24"/>
                <w:highlight w:val="none"/>
              </w:rPr>
            </w:pPr>
            <w:r>
              <w:rPr>
                <w:rFonts w:hint="eastAsia" w:ascii="宋体" w:hAnsi="宋体" w:cs="宋体"/>
                <w:color w:val="auto"/>
                <w:sz w:val="24"/>
                <w:szCs w:val="24"/>
                <w:highlight w:val="none"/>
              </w:rPr>
              <w:t>采购标的所属行业</w:t>
            </w:r>
          </w:p>
        </w:tc>
        <w:tc>
          <w:tcPr>
            <w:tcW w:w="6888" w:type="dxa"/>
            <w:noWrap w:val="0"/>
            <w:vAlign w:val="center"/>
          </w:tcPr>
          <w:p w14:paraId="5A515307">
            <w:pPr>
              <w:shd w:val="clear" w:color="auto" w:fill="auto"/>
              <w:rPr>
                <w:rFonts w:hint="eastAsia" w:ascii="宋体" w:hAnsi="宋体" w:cs="宋体"/>
                <w:color w:val="auto"/>
                <w:sz w:val="24"/>
                <w:szCs w:val="24"/>
                <w:highlight w:val="yellow"/>
              </w:rPr>
            </w:pPr>
            <w:r>
              <w:rPr>
                <w:rFonts w:hint="eastAsia" w:ascii="宋体" w:hAnsi="宋体" w:cs="宋体"/>
                <w:color w:val="auto"/>
                <w:sz w:val="24"/>
                <w:szCs w:val="24"/>
                <w:highlight w:val="none"/>
              </w:rPr>
              <w:t>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w:t>
            </w:r>
          </w:p>
        </w:tc>
      </w:tr>
    </w:tbl>
    <w:p w14:paraId="4D4AE495">
      <w:pPr>
        <w:rPr>
          <w:rFonts w:hint="eastAsia"/>
          <w:color w:val="auto"/>
          <w:highlight w:val="none"/>
        </w:rPr>
      </w:pPr>
    </w:p>
    <w:p w14:paraId="0F2252B1">
      <w:pPr>
        <w:pStyle w:val="588"/>
        <w:keepNext w:val="0"/>
        <w:keepLines w:val="0"/>
        <w:pageBreakBefore w:val="0"/>
        <w:shd w:val="clear" w:color="auto" w:fill="auto"/>
        <w:spacing w:line="440" w:lineRule="exact"/>
        <w:outlineLvl w:val="1"/>
        <w:rPr>
          <w:rFonts w:hint="eastAsia" w:ascii="宋体" w:hAnsi="宋体" w:eastAsia="宋体" w:cs="宋体"/>
          <w:color w:val="auto"/>
          <w:highlight w:val="none"/>
        </w:rPr>
      </w:pPr>
      <w:r>
        <w:rPr>
          <w:rFonts w:hint="eastAsia" w:ascii="宋体" w:hAnsi="宋体" w:eastAsia="宋体" w:cs="宋体"/>
          <w:color w:val="auto"/>
          <w:highlight w:val="none"/>
        </w:rPr>
        <w:t>一、总 则</w:t>
      </w:r>
    </w:p>
    <w:p w14:paraId="1E817B11">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1、招标方式</w:t>
      </w:r>
    </w:p>
    <w:p w14:paraId="58A1FBFD">
      <w:pPr>
        <w:pStyle w:val="213"/>
        <w:keepNext w:val="0"/>
        <w:keepLines w:val="0"/>
        <w:pageBreakBefore w:val="0"/>
        <w:shd w:val="clear" w:color="auto" w:fill="auto"/>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本次招标采取公开招标方式。</w:t>
      </w:r>
    </w:p>
    <w:p w14:paraId="70DE4215">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2、合格的投标人</w:t>
      </w:r>
    </w:p>
    <w:p w14:paraId="7E70D959">
      <w:pPr>
        <w:keepNext w:val="0"/>
        <w:keepLines w:val="0"/>
        <w:pageBreakBefore w:val="0"/>
        <w:shd w:val="clear" w:color="auto" w:fill="auto"/>
        <w:spacing w:line="44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2.1合格的投标人必须是有能力按照本招标文件规定的要求提供货物和相关服务，且具有独立承担民事等法律责任的法人或其它经济组织等。</w:t>
      </w:r>
    </w:p>
    <w:p w14:paraId="4C2F31D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2.2合格的投标人必须符合招标文件第一部分《招标公告》第二条及须知前附表相关规定，且具备独立完成本项目的能力，中标后不允许分包、转包。</w:t>
      </w:r>
    </w:p>
    <w:p w14:paraId="0B311B66">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2.3合格的投标人应遵守《中华人民共和国政府采购法》、《中华人民共和国政府采购法实施条例》、《政府采购货物和服务招标投标管理办法》等法律、行政法规、部门规章和规范性文件。</w:t>
      </w:r>
    </w:p>
    <w:p w14:paraId="20805F13">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3、适用法律</w:t>
      </w:r>
    </w:p>
    <w:p w14:paraId="453CEAA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本次招标及由本次招标产生的合同受中华人民共和国的相关法律、法规制约和保护。</w:t>
      </w:r>
    </w:p>
    <w:p w14:paraId="1306D94E">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4、投标费用</w:t>
      </w:r>
    </w:p>
    <w:p w14:paraId="2EBAC9EC">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投标人应自行承担所有参加投标有关的费用。</w:t>
      </w:r>
    </w:p>
    <w:p w14:paraId="64EFDD47">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5、招标文件的约束力</w:t>
      </w:r>
    </w:p>
    <w:p w14:paraId="0BA11C6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投标人一旦参加本项目投标，即被认为接受了本招标文件的所有条件和规定。</w:t>
      </w:r>
    </w:p>
    <w:p w14:paraId="297398AF">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6、相同品牌产品投标</w:t>
      </w:r>
    </w:p>
    <w:p w14:paraId="6ED12C92">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5B07F3B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171DC546">
      <w:pPr>
        <w:keepNext w:val="0"/>
        <w:keepLines w:val="0"/>
        <w:pageBreakBefore w:val="0"/>
        <w:shd w:val="clear" w:color="auto" w:fill="auto"/>
        <w:spacing w:line="440" w:lineRule="exact"/>
        <w:ind w:firstLine="480"/>
        <w:rPr>
          <w:rFonts w:ascii="宋体" w:hAnsi="宋体" w:cs="宋体"/>
          <w:color w:val="auto"/>
          <w:sz w:val="24"/>
          <w:highlight w:val="none"/>
        </w:rPr>
      </w:pPr>
      <w:r>
        <w:rPr>
          <w:rFonts w:hint="eastAsia" w:ascii="宋体" w:hAnsi="宋体" w:cs="宋体"/>
          <w:color w:val="auto"/>
          <w:sz w:val="24"/>
          <w:highlight w:val="none"/>
        </w:rPr>
        <w:t>6.3、非单一产品采购项目，采购人确定核心产品，并在招标文件中载明。多家投标人提供的核心产品品牌全部相同的，按前两款规定处理。</w:t>
      </w:r>
    </w:p>
    <w:p w14:paraId="4DEC85D3">
      <w:pPr>
        <w:pStyle w:val="588"/>
        <w:keepNext w:val="0"/>
        <w:keepLines w:val="0"/>
        <w:pageBreakBefore w:val="0"/>
        <w:shd w:val="clear" w:color="auto" w:fill="auto"/>
        <w:spacing w:line="440" w:lineRule="exact"/>
        <w:outlineLvl w:val="1"/>
        <w:rPr>
          <w:rFonts w:hint="eastAsia" w:ascii="宋体" w:hAnsi="宋体" w:eastAsia="宋体" w:cs="宋体"/>
          <w:color w:val="auto"/>
          <w:highlight w:val="none"/>
        </w:rPr>
      </w:pPr>
      <w:bookmarkStart w:id="16" w:name="_Toc21335"/>
      <w:bookmarkStart w:id="17" w:name="_Toc514054473"/>
      <w:r>
        <w:rPr>
          <w:rFonts w:hint="eastAsia" w:ascii="宋体" w:hAnsi="宋体" w:eastAsia="宋体" w:cs="宋体"/>
          <w:color w:val="auto"/>
          <w:highlight w:val="none"/>
        </w:rPr>
        <w:t>二、招标文件</w:t>
      </w:r>
      <w:bookmarkEnd w:id="16"/>
      <w:bookmarkEnd w:id="17"/>
    </w:p>
    <w:p w14:paraId="298B060A">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7、招标文件构成</w:t>
      </w:r>
    </w:p>
    <w:p w14:paraId="26E29ABD">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第一部分：招标公告；</w:t>
      </w:r>
    </w:p>
    <w:p w14:paraId="31FDEEEC">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p>
    <w:p w14:paraId="0956FF5B">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第三部分：评标方法和标准；</w:t>
      </w:r>
    </w:p>
    <w:p w14:paraId="330C381B">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第四部分：采购需求；</w:t>
      </w:r>
    </w:p>
    <w:p w14:paraId="6CA323D1">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第五部分：合同格式及条款；</w:t>
      </w:r>
    </w:p>
    <w:p w14:paraId="2BC9DDAA">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第六部分：投标文件格式。</w:t>
      </w:r>
    </w:p>
    <w:p w14:paraId="61F2BBCF">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8、招标文件的澄清</w:t>
      </w:r>
    </w:p>
    <w:p w14:paraId="68A04761">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任何要求对招标文件澄清的投标人，均应在法律法规规定的时间内提出，采购代理机构对规定时间内收到的澄清要求予以答复，答复不包括问题的来源。</w:t>
      </w:r>
    </w:p>
    <w:p w14:paraId="475A9307">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9、招标文件的修改</w:t>
      </w:r>
    </w:p>
    <w:p w14:paraId="7A907BDD">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9.1在投标文件接收截止日期15日前，采购代理机构可以更正公告或补充文件的形式对招标文件进行修改。</w:t>
      </w:r>
    </w:p>
    <w:p w14:paraId="7B5F0766">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9.2</w:t>
      </w:r>
      <w:r>
        <w:rPr>
          <w:rFonts w:hint="eastAsia" w:ascii="宋体" w:hAnsi="宋体" w:eastAsia="宋体"/>
          <w:color w:val="auto"/>
          <w:sz w:val="24"/>
          <w:highlight w:val="none"/>
        </w:rPr>
        <w:t>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eastAsia="宋体"/>
          <w:color w:val="auto"/>
          <w:sz w:val="24"/>
          <w:highlight w:val="none"/>
          <w:lang w:eastAsia="zh-CN"/>
        </w:rPr>
        <w:t>。</w:t>
      </w:r>
      <w:r>
        <w:rPr>
          <w:rFonts w:hint="eastAsia" w:ascii="宋体" w:hAnsi="宋体" w:cs="宋体"/>
          <w:color w:val="auto"/>
          <w:sz w:val="24"/>
          <w:highlight w:val="none"/>
        </w:rPr>
        <w:t xml:space="preserve"> </w:t>
      </w:r>
    </w:p>
    <w:p w14:paraId="35A089C1">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9.3为使投标人有充分的时间对招标文件的修改部分进行分析、研究，采购代理机构有权推迟投标文件接收截止日期和开标日期，并将此变更通知所有已获取招标文件的投标人。</w:t>
      </w:r>
    </w:p>
    <w:p w14:paraId="3380802F">
      <w:pPr>
        <w:keepNext w:val="0"/>
        <w:keepLines w:val="0"/>
        <w:pageBreakBefore w:val="0"/>
        <w:shd w:val="clear" w:color="auto" w:fill="auto"/>
        <w:spacing w:line="440" w:lineRule="exact"/>
        <w:ind w:firstLine="480"/>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18" w:name="EB453bde7f4ddc418fae2aad9fbcd82554"/>
      <w:r>
        <w:rPr>
          <w:rFonts w:hint="eastAsia" w:ascii="宋体" w:hAnsi="宋体" w:cs="宋体"/>
          <w:color w:val="auto"/>
          <w:sz w:val="20"/>
          <w:highlight w:val="none"/>
        </w:rPr>
        <w:t xml:space="preserve"> </w:t>
      </w:r>
      <w:bookmarkEnd w:id="18"/>
      <w:bookmarkStart w:id="19" w:name="EBec71fc1696a240c4b620fe1e00b2ce58"/>
      <w:r>
        <w:rPr>
          <w:rFonts w:hint="eastAsia" w:ascii="宋体" w:hAnsi="宋体" w:cs="宋体"/>
          <w:color w:val="auto"/>
          <w:sz w:val="20"/>
          <w:highlight w:val="none"/>
        </w:rPr>
        <w:t xml:space="preserve"> </w:t>
      </w:r>
      <w:bookmarkEnd w:id="19"/>
    </w:p>
    <w:p w14:paraId="5B5BAD87">
      <w:pPr>
        <w:pStyle w:val="588"/>
        <w:keepNext w:val="0"/>
        <w:keepLines w:val="0"/>
        <w:pageBreakBefore w:val="0"/>
        <w:shd w:val="clear" w:color="auto" w:fill="auto"/>
        <w:spacing w:line="440" w:lineRule="exact"/>
        <w:outlineLvl w:val="1"/>
        <w:rPr>
          <w:rFonts w:hint="eastAsia" w:ascii="宋体" w:hAnsi="宋体" w:eastAsia="宋体" w:cs="宋体"/>
          <w:color w:val="auto"/>
          <w:highlight w:val="none"/>
        </w:rPr>
      </w:pPr>
      <w:bookmarkStart w:id="20" w:name="_Toc26908"/>
      <w:bookmarkStart w:id="21" w:name="_Toc514054474"/>
      <w:r>
        <w:rPr>
          <w:rFonts w:hint="eastAsia" w:ascii="宋体" w:hAnsi="宋体" w:eastAsia="宋体" w:cs="宋体"/>
          <w:color w:val="auto"/>
          <w:highlight w:val="none"/>
        </w:rPr>
        <w:t>三、投标文件的编制</w:t>
      </w:r>
      <w:bookmarkEnd w:id="20"/>
      <w:bookmarkEnd w:id="21"/>
    </w:p>
    <w:p w14:paraId="7692B742">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10、投标文件的编制要求</w:t>
      </w:r>
    </w:p>
    <w:p w14:paraId="256D12D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6C94193F">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10.2投标文件应当对招标文件有关交货期、投标有效期、质量要求、技术标准和要求、招标范围、付款方式等实质性内容作出响应。</w:t>
      </w:r>
    </w:p>
    <w:p w14:paraId="17EDF39F">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11、投标文件构成</w:t>
      </w:r>
    </w:p>
    <w:p w14:paraId="0FF452DD">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11.1资格证明文件；</w:t>
      </w:r>
    </w:p>
    <w:p w14:paraId="2D0C48D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11.1.1具有独立承担民事责任的能力（</w:t>
      </w:r>
      <w:r>
        <w:rPr>
          <w:rFonts w:hint="eastAsia" w:ascii="宋体" w:hAnsi="宋体" w:cs="宋体"/>
          <w:color w:val="auto"/>
          <w:sz w:val="24"/>
          <w:szCs w:val="24"/>
          <w:highlight w:val="none"/>
        </w:rPr>
        <w:t>提供法人或者其他组织的营业执照等证明文件；供应商为自然人的，提供其身份证</w:t>
      </w:r>
      <w:r>
        <w:rPr>
          <w:rFonts w:hint="eastAsia" w:ascii="宋体" w:hAnsi="宋体" w:cs="宋体"/>
          <w:color w:val="auto"/>
          <w:sz w:val="24"/>
          <w:highlight w:val="none"/>
        </w:rPr>
        <w:t>）；</w:t>
      </w:r>
    </w:p>
    <w:p w14:paraId="0D8691BD">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11.1.2具有良好的商业信誉和健全的财务会计制度（提供</w:t>
      </w:r>
      <w:r>
        <w:rPr>
          <w:rFonts w:hint="eastAsia" w:ascii="宋体" w:hAnsi="宋体" w:cs="宋体"/>
          <w:color w:val="auto"/>
          <w:sz w:val="24"/>
          <w:highlight w:val="none"/>
          <w:lang w:val="en-US" w:eastAsia="zh-CN"/>
        </w:rPr>
        <w:t>2023年度或2024年</w:t>
      </w:r>
      <w:r>
        <w:rPr>
          <w:rFonts w:hint="eastAsia" w:ascii="宋体" w:hAnsi="宋体" w:cs="宋体"/>
          <w:b w:val="0"/>
          <w:bCs w:val="0"/>
          <w:color w:val="auto"/>
          <w:sz w:val="24"/>
          <w:highlight w:val="none"/>
          <w:lang w:val="en-US" w:eastAsia="zh-CN"/>
        </w:rPr>
        <w:t>度</w:t>
      </w:r>
      <w:r>
        <w:rPr>
          <w:rFonts w:hint="eastAsia" w:ascii="宋体" w:hAnsi="宋体" w:cs="宋体"/>
          <w:b w:val="0"/>
          <w:bCs w:val="0"/>
          <w:color w:val="auto"/>
          <w:sz w:val="24"/>
          <w:szCs w:val="24"/>
          <w:highlight w:val="none"/>
          <w:lang w:val="en-US" w:eastAsia="zh-CN"/>
        </w:rPr>
        <w:t>的财务报告</w:t>
      </w:r>
      <w:r>
        <w:rPr>
          <w:rFonts w:hint="eastAsia" w:ascii="宋体" w:hAnsi="宋体" w:cs="宋体"/>
          <w:b w:val="0"/>
          <w:bCs w:val="0"/>
          <w:color w:val="auto"/>
          <w:sz w:val="24"/>
          <w:highlight w:val="none"/>
          <w:lang w:val="en-US" w:eastAsia="zh-CN"/>
        </w:rPr>
        <w:t>，</w:t>
      </w:r>
      <w:r>
        <w:rPr>
          <w:rFonts w:hint="eastAsia" w:ascii="宋体" w:hAnsi="宋体" w:cs="宋体"/>
          <w:color w:val="auto"/>
          <w:sz w:val="24"/>
          <w:highlight w:val="none"/>
        </w:rPr>
        <w:t>至少包含资产负债表、利润表，或投标截止时间前六个月内银行出具的资信证明，成立不满一年的无须提供）；</w:t>
      </w:r>
    </w:p>
    <w:p w14:paraId="15E8056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11.1.3具有履行合同所必需的设备和专业技术能力（供应商根据履行采购项目合同需要，提供履行合同所必需的设备和专业技术能力的声明函或证明材料）；</w:t>
      </w:r>
    </w:p>
    <w:p w14:paraId="53A1B98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11.1.4有依法缴纳税收和社会保障资金的良好记录</w:t>
      </w:r>
      <w:r>
        <w:rPr>
          <w:rFonts w:hint="eastAsia" w:ascii="宋体" w:hAnsi="宋体" w:cs="宋体"/>
          <w:color w:val="auto"/>
          <w:sz w:val="24"/>
          <w:szCs w:val="24"/>
          <w:highlight w:val="none"/>
        </w:rPr>
        <w:t>（提供202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月至今）</w:t>
      </w:r>
      <w:r>
        <w:rPr>
          <w:rFonts w:hint="eastAsia" w:ascii="宋体" w:hAnsi="宋体" w:cs="宋体"/>
          <w:color w:val="auto"/>
          <w:sz w:val="24"/>
          <w:highlight w:val="none"/>
        </w:rPr>
        <w:t>中任一月份的依法缴纳税收和社会保险费的相关材料（提供相关主管部门证明或银行代扣证明的复印件，根据国家相关政策免缴或迟缴的需提供相关证明材料）；</w:t>
      </w:r>
    </w:p>
    <w:p w14:paraId="6140412A">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11.1.5参加政府采购活动前三年内，在经营活动中没有重大违法记录（提供承诺书）；</w:t>
      </w:r>
    </w:p>
    <w:p w14:paraId="7E4602ED">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11.1.6法律、行政法规规定的其他条件</w:t>
      </w:r>
      <w:r>
        <w:rPr>
          <w:rFonts w:hint="eastAsia" w:ascii="宋体" w:hAnsi="宋体" w:cs="宋体"/>
          <w:color w:val="auto"/>
          <w:sz w:val="24"/>
          <w:highlight w:val="none"/>
          <w:lang w:eastAsia="zh-CN"/>
        </w:rPr>
        <w:t>。</w:t>
      </w:r>
    </w:p>
    <w:p w14:paraId="6C06824B">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11.1.7</w:t>
      </w:r>
      <w:r>
        <w:rPr>
          <w:rFonts w:hint="eastAsia"/>
          <w:color w:val="auto"/>
          <w:highlight w:val="none"/>
        </w:rPr>
        <w:t xml:space="preserve"> </w:t>
      </w:r>
      <w:r>
        <w:rPr>
          <w:rFonts w:hint="eastAsia" w:ascii="宋体" w:hAnsi="宋体" w:cs="宋体"/>
          <w:color w:val="auto"/>
          <w:sz w:val="24"/>
          <w:highlight w:val="none"/>
        </w:rPr>
        <w:t>拒绝被“信用中国”（www.creditchina.gov.cn）、“中国政府采购网”(www.ccgp.gov.cn）列入失信被执行人、重大税收违法案件当事人、政府采购严重失信行为的供应商参加投标。</w:t>
      </w:r>
    </w:p>
    <w:p w14:paraId="223E4D38">
      <w:pPr>
        <w:pStyle w:val="468"/>
        <w:keepNext w:val="0"/>
        <w:keepLines w:val="0"/>
        <w:pageBreakBefore w:val="0"/>
        <w:shd w:val="clear" w:color="auto" w:fill="auto"/>
        <w:spacing w:line="440" w:lineRule="exact"/>
        <w:rPr>
          <w:rFonts w:ascii="宋体" w:hAnsi="宋体" w:eastAsia="宋体" w:cs="宋体"/>
          <w:bCs/>
          <w:color w:val="auto"/>
          <w:sz w:val="24"/>
          <w:szCs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8</w:t>
      </w:r>
      <w:r>
        <w:rPr>
          <w:rFonts w:hint="eastAsia" w:ascii="宋体" w:hAnsi="宋体" w:eastAsia="宋体" w:cs="宋体"/>
          <w:bCs/>
          <w:color w:val="auto"/>
          <w:sz w:val="24"/>
          <w:szCs w:val="24"/>
          <w:highlight w:val="none"/>
          <w:lang w:val="en-US" w:eastAsia="zh-CN"/>
        </w:rPr>
        <w:t>根据投标产品类别，</w:t>
      </w:r>
      <w:r>
        <w:rPr>
          <w:rFonts w:ascii="宋体" w:hAnsi="宋体" w:eastAsia="宋体" w:cs="宋体"/>
          <w:bCs/>
          <w:color w:val="auto"/>
          <w:sz w:val="24"/>
          <w:szCs w:val="24"/>
          <w:highlight w:val="none"/>
          <w:lang w:val="en-US" w:eastAsia="zh-CN"/>
        </w:rPr>
        <w:t>投标人具有所有所投产品医疗器械生产许可（或备案）证或经营许可（或备案）证。</w:t>
      </w:r>
    </w:p>
    <w:p w14:paraId="22BF5984">
      <w:pPr>
        <w:pStyle w:val="468"/>
        <w:keepNext w:val="0"/>
        <w:keepLines w:val="0"/>
        <w:pageBreakBefore w:val="0"/>
        <w:shd w:val="clear" w:color="auto" w:fill="auto"/>
        <w:spacing w:line="440" w:lineRule="exact"/>
        <w:rPr>
          <w:rFonts w:ascii="宋体" w:hAnsi="宋体" w:eastAsia="宋体" w:cs="宋体"/>
          <w:bCs/>
          <w:color w:val="auto"/>
          <w:sz w:val="24"/>
          <w:szCs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9</w:t>
      </w:r>
      <w:r>
        <w:rPr>
          <w:rFonts w:hint="eastAsia" w:ascii="宋体" w:hAnsi="宋体" w:eastAsia="宋体" w:cs="宋体"/>
          <w:bCs/>
          <w:color w:val="auto"/>
          <w:sz w:val="24"/>
          <w:szCs w:val="24"/>
          <w:highlight w:val="none"/>
          <w:lang w:val="en-US" w:eastAsia="zh-CN"/>
        </w:rPr>
        <w:t>根据投标产品类别，</w:t>
      </w:r>
      <w:r>
        <w:rPr>
          <w:rFonts w:ascii="宋体" w:hAnsi="宋体" w:eastAsia="宋体" w:cs="宋体"/>
          <w:bCs/>
          <w:color w:val="auto"/>
          <w:sz w:val="24"/>
          <w:szCs w:val="24"/>
          <w:highlight w:val="none"/>
          <w:lang w:val="en-US" w:eastAsia="zh-CN"/>
        </w:rPr>
        <w:t>提供所有所投产品有效的医疗器械产品注册证或产品备案凭证。</w:t>
      </w:r>
    </w:p>
    <w:p w14:paraId="24915B43">
      <w:pPr>
        <w:pStyle w:val="468"/>
        <w:keepNext w:val="0"/>
        <w:keepLines w:val="0"/>
        <w:pageBreakBefore w:val="0"/>
        <w:shd w:val="clear" w:color="auto" w:fill="auto"/>
        <w:spacing w:line="440" w:lineRule="exact"/>
        <w:rPr>
          <w:rFonts w:hint="eastAsia" w:ascii="宋体" w:hAnsi="宋体" w:eastAsia="宋体" w:cs="宋体"/>
          <w:bCs/>
          <w:color w:val="auto"/>
          <w:sz w:val="24"/>
          <w:szCs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10</w:t>
      </w:r>
      <w:r>
        <w:rPr>
          <w:rFonts w:hint="eastAsia" w:ascii="宋体" w:hAnsi="宋体" w:eastAsia="宋体" w:cs="宋体"/>
          <w:bCs/>
          <w:color w:val="auto"/>
          <w:sz w:val="24"/>
          <w:szCs w:val="24"/>
          <w:highlight w:val="none"/>
          <w:lang w:val="en-US" w:eastAsia="zh-CN"/>
        </w:rPr>
        <w:t>投标货物如为进口产品，投标人须提供下列授权文件之一</w:t>
      </w:r>
    </w:p>
    <w:p w14:paraId="3431BE13">
      <w:pPr>
        <w:pStyle w:val="468"/>
        <w:keepNext w:val="0"/>
        <w:keepLines w:val="0"/>
        <w:pageBreakBefore w:val="0"/>
        <w:shd w:val="clear" w:color="auto" w:fill="auto"/>
        <w:spacing w:line="440" w:lineRule="exact"/>
        <w:ind w:firstLine="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a.供应商须提供进口产品制造商出具的授权函加盖公章；</w:t>
      </w:r>
    </w:p>
    <w:p w14:paraId="6D7AEB0A">
      <w:pPr>
        <w:pStyle w:val="468"/>
        <w:keepNext w:val="0"/>
        <w:keepLines w:val="0"/>
        <w:pageBreakBefore w:val="0"/>
        <w:shd w:val="clear" w:color="auto" w:fill="auto"/>
        <w:spacing w:line="440" w:lineRule="exact"/>
        <w:ind w:firstLine="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b.进口产品制造商对授权的区域代理商出具的授权函扫描件及该区域代理商对投标人出具的授权函扫描件加盖公章；</w:t>
      </w:r>
    </w:p>
    <w:p w14:paraId="5E60C8A2">
      <w:pPr>
        <w:pStyle w:val="468"/>
        <w:keepNext w:val="0"/>
        <w:keepLines w:val="0"/>
        <w:pageBreakBefore w:val="0"/>
        <w:shd w:val="clear" w:color="auto" w:fill="auto"/>
        <w:spacing w:line="440" w:lineRule="exact"/>
        <w:ind w:firstLine="72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c.投标人取得的进口产品代理证书扫描件加盖公章。</w:t>
      </w:r>
    </w:p>
    <w:p w14:paraId="0CE2BF11">
      <w:pPr>
        <w:keepNext w:val="0"/>
        <w:keepLines w:val="0"/>
        <w:pageBreakBefore w:val="0"/>
        <w:shd w:val="clear" w:color="auto" w:fill="auto"/>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11.1.1</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6A88DDF">
      <w:pPr>
        <w:keepNext w:val="0"/>
        <w:keepLines w:val="0"/>
        <w:pageBreakBefore w:val="0"/>
        <w:shd w:val="clear" w:color="auto" w:fill="auto"/>
        <w:spacing w:line="44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11.2投标函；</w:t>
      </w:r>
    </w:p>
    <w:p w14:paraId="78FF5468">
      <w:pPr>
        <w:keepNext w:val="0"/>
        <w:keepLines w:val="0"/>
        <w:pageBreakBefore w:val="0"/>
        <w:shd w:val="clear" w:color="auto" w:fill="auto"/>
        <w:spacing w:line="44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11.3法定代表人身份证明或法定代表人授权委托</w:t>
      </w:r>
      <w:bookmarkStart w:id="22" w:name="EB1a77376dbd044d229c365f6951816069"/>
      <w:r>
        <w:rPr>
          <w:rFonts w:hint="eastAsia" w:ascii="宋体" w:hAnsi="宋体" w:cs="宋体"/>
          <w:bCs/>
          <w:color w:val="auto"/>
          <w:sz w:val="24"/>
          <w:szCs w:val="24"/>
          <w:highlight w:val="none"/>
        </w:rPr>
        <w:t>书（并按要求提供法定代表人或授权委托人居民身份证复印件加盖公章；如为授权委托人参加投标的，须提供开标前6个月内任意一个月投标人单位为授权委托人缴纳的社保证明材料）；</w:t>
      </w:r>
      <w:bookmarkEnd w:id="22"/>
    </w:p>
    <w:p w14:paraId="104B5AF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11.4报价文件</w:t>
      </w:r>
    </w:p>
    <w:p w14:paraId="5FB8719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11.4.1开标一览表；</w:t>
      </w:r>
    </w:p>
    <w:p w14:paraId="52EA6E2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11.4.2明细报价表。</w:t>
      </w:r>
    </w:p>
    <w:p w14:paraId="4B800591">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11.5技术文件</w:t>
      </w:r>
    </w:p>
    <w:p w14:paraId="5E8D4D25">
      <w:pPr>
        <w:keepNext w:val="0"/>
        <w:keepLines w:val="0"/>
        <w:pageBreakBefore w:val="0"/>
        <w:shd w:val="clear" w:color="auto" w:fill="auto"/>
        <w:spacing w:line="440" w:lineRule="exact"/>
        <w:ind w:firstLine="480"/>
        <w:rPr>
          <w:rFonts w:ascii="宋体" w:hAnsi="宋体" w:cs="宋体"/>
          <w:color w:val="auto"/>
          <w:sz w:val="24"/>
          <w:highlight w:val="none"/>
        </w:rPr>
      </w:pPr>
      <w:bookmarkStart w:id="23" w:name="EB7f6b24a996964930b08d6b290b36e3fd"/>
      <w:r>
        <w:rPr>
          <w:rFonts w:hint="eastAsia" w:ascii="宋体" w:hAnsi="宋体" w:cs="宋体"/>
          <w:color w:val="auto"/>
          <w:sz w:val="24"/>
          <w:highlight w:val="none"/>
        </w:rPr>
        <w:t>11.5.1技术响应偏差表</w:t>
      </w:r>
      <w:bookmarkEnd w:id="23"/>
      <w:r>
        <w:rPr>
          <w:rFonts w:hint="eastAsia" w:ascii="宋体" w:hAnsi="宋体" w:cs="宋体"/>
          <w:color w:val="auto"/>
          <w:sz w:val="24"/>
          <w:highlight w:val="none"/>
        </w:rPr>
        <w:t>,商务</w:t>
      </w:r>
      <w:r>
        <w:rPr>
          <w:rFonts w:ascii="宋体" w:hAnsi="宋体" w:cs="宋体"/>
          <w:color w:val="auto"/>
          <w:sz w:val="24"/>
          <w:highlight w:val="none"/>
        </w:rPr>
        <w:t>响应偏差表。</w:t>
      </w:r>
    </w:p>
    <w:p w14:paraId="44EAA71E">
      <w:pPr>
        <w:keepNext w:val="0"/>
        <w:keepLines w:val="0"/>
        <w:pageBreakBefore w:val="0"/>
        <w:shd w:val="clear" w:color="auto" w:fill="auto"/>
        <w:spacing w:line="440" w:lineRule="exact"/>
        <w:ind w:firstLine="480"/>
        <w:rPr>
          <w:rFonts w:hint="eastAsia" w:ascii="宋体" w:hAnsi="宋体"/>
          <w:bCs/>
          <w:color w:val="auto"/>
          <w:sz w:val="24"/>
          <w:szCs w:val="24"/>
          <w:highlight w:val="none"/>
        </w:rPr>
      </w:pPr>
      <w:r>
        <w:rPr>
          <w:rFonts w:hint="eastAsia" w:ascii="宋体" w:hAnsi="宋体" w:cs="宋体"/>
          <w:color w:val="auto"/>
          <w:sz w:val="24"/>
          <w:highlight w:val="none"/>
        </w:rPr>
        <w:t>11.5.2</w:t>
      </w:r>
      <w:r>
        <w:rPr>
          <w:rFonts w:hint="eastAsia" w:ascii="宋体" w:hAnsi="宋体"/>
          <w:bCs/>
          <w:color w:val="auto"/>
          <w:sz w:val="24"/>
          <w:szCs w:val="24"/>
          <w:highlight w:val="none"/>
        </w:rPr>
        <w:t>质保期（提供的承诺函（格式自拟））</w:t>
      </w:r>
    </w:p>
    <w:p w14:paraId="22EF6432">
      <w:pPr>
        <w:keepNext w:val="0"/>
        <w:keepLines w:val="0"/>
        <w:pageBreakBefore w:val="0"/>
        <w:shd w:val="clear" w:color="auto" w:fill="auto"/>
        <w:spacing w:line="440" w:lineRule="exact"/>
        <w:ind w:firstLine="480"/>
        <w:rPr>
          <w:rFonts w:hint="eastAsia" w:ascii="宋体" w:hAnsi="宋体"/>
          <w:bCs/>
          <w:color w:val="auto"/>
          <w:sz w:val="24"/>
          <w:szCs w:val="24"/>
          <w:highlight w:val="none"/>
        </w:rPr>
      </w:pPr>
      <w:r>
        <w:rPr>
          <w:rFonts w:hint="eastAsia" w:ascii="宋体" w:hAnsi="宋体" w:cs="宋体"/>
          <w:color w:val="auto"/>
          <w:sz w:val="24"/>
          <w:highlight w:val="none"/>
        </w:rPr>
        <w:t>11.5.3</w:t>
      </w:r>
      <w:r>
        <w:rPr>
          <w:rFonts w:hint="eastAsia" w:ascii="宋体" w:hAnsi="宋体"/>
          <w:bCs/>
          <w:color w:val="auto"/>
          <w:sz w:val="24"/>
          <w:szCs w:val="24"/>
          <w:highlight w:val="none"/>
        </w:rPr>
        <w:t>项目实施方案</w:t>
      </w:r>
    </w:p>
    <w:p w14:paraId="297B1BFD">
      <w:pPr>
        <w:keepNext w:val="0"/>
        <w:keepLines w:val="0"/>
        <w:pageBreakBefore w:val="0"/>
        <w:shd w:val="clear" w:color="auto" w:fill="auto"/>
        <w:spacing w:line="440" w:lineRule="exact"/>
        <w:ind w:firstLine="480"/>
        <w:rPr>
          <w:rFonts w:hint="eastAsia" w:ascii="宋体" w:hAnsi="宋体"/>
          <w:bCs/>
          <w:color w:val="auto"/>
          <w:sz w:val="24"/>
          <w:szCs w:val="24"/>
          <w:highlight w:val="none"/>
        </w:rPr>
      </w:pPr>
      <w:r>
        <w:rPr>
          <w:rFonts w:hint="eastAsia" w:ascii="宋体" w:hAnsi="宋体" w:cs="宋体"/>
          <w:color w:val="auto"/>
          <w:sz w:val="24"/>
          <w:highlight w:val="none"/>
        </w:rPr>
        <w:t>11.5.4</w:t>
      </w:r>
      <w:r>
        <w:rPr>
          <w:rFonts w:hint="eastAsia" w:ascii="宋体" w:hAnsi="宋体"/>
          <w:bCs/>
          <w:color w:val="auto"/>
          <w:sz w:val="24"/>
          <w:szCs w:val="24"/>
          <w:highlight w:val="none"/>
        </w:rPr>
        <w:t>人员配备方案</w:t>
      </w:r>
    </w:p>
    <w:p w14:paraId="54944C0E">
      <w:pPr>
        <w:keepNext w:val="0"/>
        <w:keepLines w:val="0"/>
        <w:pageBreakBefore w:val="0"/>
        <w:shd w:val="clear" w:color="auto" w:fill="auto"/>
        <w:spacing w:line="440" w:lineRule="exact"/>
        <w:ind w:firstLine="480"/>
        <w:rPr>
          <w:rFonts w:hint="eastAsia" w:ascii="宋体" w:hAnsi="宋体"/>
          <w:bCs/>
          <w:color w:val="auto"/>
          <w:sz w:val="24"/>
          <w:szCs w:val="24"/>
          <w:highlight w:val="none"/>
        </w:rPr>
      </w:pPr>
      <w:r>
        <w:rPr>
          <w:rFonts w:hint="eastAsia" w:ascii="宋体" w:hAnsi="宋体" w:cs="宋体"/>
          <w:color w:val="auto"/>
          <w:sz w:val="24"/>
          <w:highlight w:val="none"/>
        </w:rPr>
        <w:t>11.5.5</w:t>
      </w:r>
      <w:r>
        <w:rPr>
          <w:rFonts w:hint="eastAsia" w:ascii="宋体" w:hAnsi="宋体" w:cs="宋体"/>
          <w:bCs/>
          <w:color w:val="auto"/>
          <w:sz w:val="24"/>
          <w:szCs w:val="24"/>
          <w:highlight w:val="none"/>
        </w:rPr>
        <w:t>售后服务方案</w:t>
      </w:r>
    </w:p>
    <w:p w14:paraId="09FC126D">
      <w:pPr>
        <w:keepNext w:val="0"/>
        <w:keepLines w:val="0"/>
        <w:pageBreakBefore w:val="0"/>
        <w:shd w:val="clear" w:color="auto" w:fill="auto"/>
        <w:spacing w:line="440" w:lineRule="exact"/>
        <w:ind w:firstLine="480"/>
        <w:rPr>
          <w:rFonts w:hint="eastAsia" w:ascii="宋体" w:hAnsi="宋体"/>
          <w:bCs/>
          <w:color w:val="auto"/>
          <w:sz w:val="24"/>
          <w:szCs w:val="24"/>
          <w:highlight w:val="none"/>
        </w:rPr>
      </w:pPr>
      <w:r>
        <w:rPr>
          <w:rFonts w:hint="eastAsia" w:ascii="宋体" w:hAnsi="宋体" w:cs="宋体"/>
          <w:color w:val="auto"/>
          <w:sz w:val="24"/>
          <w:highlight w:val="none"/>
        </w:rPr>
        <w:t>11.5.6</w:t>
      </w:r>
      <w:r>
        <w:rPr>
          <w:rFonts w:hint="eastAsia" w:ascii="宋体" w:hAnsi="宋体" w:cs="宋体"/>
          <w:bCs/>
          <w:color w:val="auto"/>
          <w:sz w:val="24"/>
          <w:szCs w:val="24"/>
          <w:highlight w:val="none"/>
        </w:rPr>
        <w:t>项目技术复杂程度、重点、难点及其解决方案</w:t>
      </w:r>
    </w:p>
    <w:p w14:paraId="02708203">
      <w:pPr>
        <w:keepNext w:val="0"/>
        <w:keepLines w:val="0"/>
        <w:pageBreakBefore w:val="0"/>
        <w:shd w:val="clear" w:color="auto" w:fill="auto"/>
        <w:spacing w:line="440" w:lineRule="exact"/>
        <w:ind w:firstLine="480"/>
        <w:rPr>
          <w:rFonts w:hint="eastAsia" w:ascii="宋体" w:hAnsi="宋体"/>
          <w:bCs/>
          <w:color w:val="auto"/>
          <w:sz w:val="24"/>
          <w:szCs w:val="24"/>
          <w:highlight w:val="none"/>
        </w:rPr>
      </w:pPr>
      <w:r>
        <w:rPr>
          <w:rFonts w:hint="eastAsia" w:ascii="宋体" w:hAnsi="宋体" w:cs="宋体"/>
          <w:color w:val="auto"/>
          <w:sz w:val="24"/>
          <w:highlight w:val="none"/>
        </w:rPr>
        <w:t>11.5.7</w:t>
      </w:r>
      <w:r>
        <w:rPr>
          <w:rFonts w:hint="eastAsia" w:ascii="宋体" w:hAnsi="宋体"/>
          <w:bCs/>
          <w:color w:val="auto"/>
          <w:sz w:val="24"/>
          <w:szCs w:val="24"/>
          <w:highlight w:val="none"/>
        </w:rPr>
        <w:t>应急保障方案</w:t>
      </w:r>
    </w:p>
    <w:p w14:paraId="6FA04CA3">
      <w:pPr>
        <w:keepNext w:val="0"/>
        <w:keepLines w:val="0"/>
        <w:pageBreakBefore w:val="0"/>
        <w:shd w:val="clear" w:color="auto" w:fill="auto"/>
        <w:spacing w:line="440" w:lineRule="exact"/>
        <w:ind w:firstLine="480"/>
        <w:rPr>
          <w:rFonts w:hint="eastAsia" w:ascii="宋体" w:hAnsi="宋体"/>
          <w:bCs/>
          <w:color w:val="auto"/>
          <w:sz w:val="24"/>
          <w:szCs w:val="24"/>
          <w:highlight w:val="none"/>
        </w:rPr>
      </w:pPr>
      <w:r>
        <w:rPr>
          <w:rFonts w:hint="eastAsia" w:ascii="宋体" w:hAnsi="宋体" w:cs="宋体"/>
          <w:color w:val="auto"/>
          <w:sz w:val="24"/>
          <w:highlight w:val="none"/>
        </w:rPr>
        <w:t>11.5.8</w:t>
      </w:r>
      <w:r>
        <w:rPr>
          <w:rFonts w:hint="eastAsia" w:ascii="宋体" w:hAnsi="宋体"/>
          <w:bCs/>
          <w:color w:val="auto"/>
          <w:sz w:val="24"/>
          <w:szCs w:val="24"/>
          <w:highlight w:val="none"/>
        </w:rPr>
        <w:t>项目培训方案</w:t>
      </w:r>
    </w:p>
    <w:p w14:paraId="3209278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11.6商务文件</w:t>
      </w:r>
    </w:p>
    <w:p w14:paraId="42EAE834">
      <w:pPr>
        <w:keepNext w:val="0"/>
        <w:keepLines w:val="0"/>
        <w:pageBreakBefore w:val="0"/>
        <w:shd w:val="clear" w:color="auto" w:fill="auto"/>
        <w:spacing w:line="440" w:lineRule="exact"/>
        <w:ind w:firstLine="480"/>
        <w:rPr>
          <w:rFonts w:hint="eastAsia" w:ascii="宋体" w:hAnsi="宋体" w:cs="宋体"/>
          <w:color w:val="auto"/>
          <w:sz w:val="24"/>
          <w:highlight w:val="none"/>
        </w:rPr>
      </w:pPr>
      <w:bookmarkStart w:id="24" w:name="EBdc2c24f6358343e896cd43bd6621a619"/>
      <w:r>
        <w:rPr>
          <w:rFonts w:hint="eastAsia" w:ascii="宋体" w:hAnsi="宋体" w:cs="宋体"/>
          <w:color w:val="auto"/>
          <w:sz w:val="24"/>
          <w:highlight w:val="none"/>
        </w:rPr>
        <w:t>11.6.1承担的业绩一览表，提供合同相关资料；</w:t>
      </w:r>
    </w:p>
    <w:p w14:paraId="4E11E40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11.6.2其他商务文件。</w:t>
      </w:r>
      <w:bookmarkEnd w:id="24"/>
    </w:p>
    <w:p w14:paraId="07C0EE7D">
      <w:pPr>
        <w:keepNext w:val="0"/>
        <w:keepLines w:val="0"/>
        <w:pageBreakBefore w:val="0"/>
        <w:numPr>
          <w:ilvl w:val="0"/>
          <w:numId w:val="6"/>
        </w:numPr>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投标文件构成资料为非中文时应提供中文译版，并以中文为准，否则可视为未提供；</w:t>
      </w:r>
    </w:p>
    <w:p w14:paraId="571BD1B3">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13、投标报价</w:t>
      </w:r>
    </w:p>
    <w:p w14:paraId="1D0E6F7B">
      <w:pPr>
        <w:keepNext w:val="0"/>
        <w:keepLines w:val="0"/>
        <w:pageBreakBefore w:val="0"/>
        <w:shd w:val="clear" w:color="auto" w:fill="auto"/>
        <w:spacing w:line="44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13.</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本项目不接受备选的投标方案或有选择的报价，只允许有一个报价。投标报价内容包括：</w:t>
      </w:r>
      <w:bookmarkStart w:id="25" w:name="EB54dd097a55df4796bd5f9b6bdf2ddc40"/>
      <w:r>
        <w:rPr>
          <w:rFonts w:hint="eastAsia" w:ascii="宋体" w:hAnsi="宋体" w:cs="宋体"/>
          <w:color w:val="auto"/>
          <w:sz w:val="24"/>
          <w:highlight w:val="none"/>
        </w:rPr>
        <w:t>设备本身、安装调试费、人工费、服务费、税金以及交付使用过程中涉及到的其他一切费用。</w:t>
      </w:r>
      <w:bookmarkEnd w:id="25"/>
    </w:p>
    <w:p w14:paraId="5F46FBF6">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13.3报价注意事项：</w:t>
      </w:r>
    </w:p>
    <w:p w14:paraId="6989FF4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13.3.1价格一律以人民币计算；</w:t>
      </w:r>
    </w:p>
    <w:p w14:paraId="3CF2BB6A">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13.3.2投标人报价时应充分考虑所有可能影响到报价的因素，一旦评标结束最终中标，如发生漏、缺、少项，都将被认为是中标人的报价让利行为，损失自负。</w:t>
      </w:r>
    </w:p>
    <w:p w14:paraId="45D7F6EC">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14、投标保证金</w:t>
      </w:r>
    </w:p>
    <w:p w14:paraId="4E118019">
      <w:pPr>
        <w:keepNext w:val="0"/>
        <w:keepLines w:val="0"/>
        <w:pageBreakBefore w:val="0"/>
        <w:shd w:val="clear" w:color="auto" w:fill="auto"/>
        <w:spacing w:line="440" w:lineRule="exact"/>
        <w:ind w:firstLine="480"/>
        <w:rPr>
          <w:rFonts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本项目不收取投标保证金。</w:t>
      </w:r>
    </w:p>
    <w:p w14:paraId="585D75BF">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15.招标代理服务费</w:t>
      </w:r>
    </w:p>
    <w:p w14:paraId="435120D1">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15.1招标代理服务费按发改价格</w:t>
      </w:r>
      <w:r>
        <w:rPr>
          <w:rFonts w:hint="eastAsia" w:ascii="宋体" w:hAnsi="宋体" w:eastAsia="宋体" w:cs="宋体"/>
          <w:color w:val="auto"/>
          <w:sz w:val="24"/>
          <w:szCs w:val="24"/>
          <w:highlight w:val="none"/>
          <w:lang w:val="en-US" w:eastAsia="zh-CN"/>
        </w:rPr>
        <w:t>参照苏招协【2022】002号文收费标准的27%收取</w:t>
      </w:r>
      <w:r>
        <w:rPr>
          <w:rFonts w:hint="eastAsia" w:ascii="宋体" w:hAnsi="宋体" w:cs="宋体"/>
          <w:color w:val="auto"/>
          <w:sz w:val="24"/>
          <w:szCs w:val="24"/>
          <w:highlight w:val="none"/>
        </w:rPr>
        <w:t>，</w:t>
      </w:r>
      <w:r>
        <w:rPr>
          <w:rFonts w:hint="eastAsia" w:ascii="宋体" w:hAnsi="宋体" w:cs="宋体"/>
          <w:color w:val="auto"/>
          <w:sz w:val="24"/>
          <w:highlight w:val="none"/>
        </w:rPr>
        <w:t>由中标单位支付给采购代理机构。</w:t>
      </w:r>
    </w:p>
    <w:p w14:paraId="78255E99">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16、投标有效期</w:t>
      </w:r>
    </w:p>
    <w:p w14:paraId="5F83A6BC">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p>
    <w:p w14:paraId="63308AF7">
      <w:pPr>
        <w:keepNext w:val="0"/>
        <w:keepLines w:val="0"/>
        <w:pageBreakBefore w:val="0"/>
        <w:shd w:val="clear" w:color="auto" w:fill="auto"/>
        <w:spacing w:line="440" w:lineRule="exact"/>
        <w:ind w:firstLine="480"/>
        <w:rPr>
          <w:rFonts w:hint="eastAsia" w:ascii="宋体" w:hAnsi="宋体" w:cs="宋体"/>
          <w:color w:val="auto"/>
          <w:highlight w:val="none"/>
        </w:rPr>
      </w:pPr>
      <w:r>
        <w:rPr>
          <w:rFonts w:hint="eastAsia" w:ascii="宋体" w:hAnsi="宋体" w:cs="宋体"/>
          <w:color w:val="auto"/>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26" w:name="EB12ed6b870f334fa092f7ed1f9a9dbab8"/>
      <w:r>
        <w:rPr>
          <w:rFonts w:hint="eastAsia" w:ascii="宋体" w:hAnsi="宋体" w:cs="宋体"/>
          <w:color w:val="auto"/>
          <w:sz w:val="20"/>
          <w:highlight w:val="none"/>
        </w:rPr>
        <w:t xml:space="preserve"> </w:t>
      </w:r>
      <w:bookmarkEnd w:id="26"/>
      <w:bookmarkStart w:id="27" w:name="EB5d36e8077cc64e309c0c0f0cd8a6f496"/>
      <w:r>
        <w:rPr>
          <w:rFonts w:hint="eastAsia" w:ascii="宋体" w:hAnsi="宋体" w:cs="宋体"/>
          <w:color w:val="auto"/>
          <w:sz w:val="20"/>
          <w:highlight w:val="none"/>
        </w:rPr>
        <w:t xml:space="preserve"> </w:t>
      </w:r>
      <w:bookmarkEnd w:id="27"/>
    </w:p>
    <w:p w14:paraId="26AD3028">
      <w:pPr>
        <w:pStyle w:val="588"/>
        <w:keepNext w:val="0"/>
        <w:keepLines w:val="0"/>
        <w:pageBreakBefore w:val="0"/>
        <w:shd w:val="clear" w:color="auto" w:fill="auto"/>
        <w:spacing w:line="440" w:lineRule="exact"/>
        <w:outlineLvl w:val="1"/>
        <w:rPr>
          <w:rFonts w:hint="eastAsia" w:ascii="宋体" w:hAnsi="宋体" w:eastAsia="宋体" w:cs="宋体"/>
          <w:color w:val="auto"/>
          <w:highlight w:val="none"/>
        </w:rPr>
      </w:pPr>
      <w:bookmarkStart w:id="28" w:name="_Toc26211"/>
      <w:bookmarkStart w:id="29" w:name="_Toc514054475"/>
      <w:r>
        <w:rPr>
          <w:rFonts w:hint="eastAsia" w:ascii="宋体" w:hAnsi="宋体" w:eastAsia="宋体" w:cs="宋体"/>
          <w:color w:val="auto"/>
          <w:highlight w:val="none"/>
        </w:rPr>
        <w:t>四、投标文件的提交</w:t>
      </w:r>
      <w:bookmarkEnd w:id="28"/>
      <w:bookmarkEnd w:id="29"/>
    </w:p>
    <w:p w14:paraId="2503060D">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w:t>
      </w:r>
      <w:r>
        <w:rPr>
          <w:rFonts w:hint="eastAsia" w:ascii="宋体" w:hAnsi="宋体" w:cs="宋体"/>
          <w:b/>
          <w:color w:val="auto"/>
          <w:sz w:val="24"/>
          <w:highlight w:val="none"/>
          <w:lang w:val="en-US" w:eastAsia="zh-CN"/>
        </w:rPr>
        <w:t>7.1</w:t>
      </w:r>
      <w:r>
        <w:rPr>
          <w:rFonts w:hint="eastAsia" w:ascii="宋体" w:hAnsi="宋体" w:cs="宋体"/>
          <w:b/>
          <w:color w:val="auto"/>
          <w:sz w:val="24"/>
          <w:highlight w:val="none"/>
        </w:rPr>
        <w:t>、投标文件的提交</w:t>
      </w:r>
    </w:p>
    <w:p w14:paraId="51F26EB0">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.1</w:t>
      </w:r>
      <w:r>
        <w:rPr>
          <w:rFonts w:hint="eastAsia" w:ascii="宋体" w:hAnsi="宋体" w:eastAsia="宋体"/>
          <w:color w:val="auto"/>
          <w:sz w:val="24"/>
          <w:highlight w:val="none"/>
        </w:rPr>
        <w:t xml:space="preserve"> 电子投标文件的递交</w:t>
      </w:r>
    </w:p>
    <w:p w14:paraId="383EEB37">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投标人应当按照《操作手册》规定，在投标截止时间前制作并上传电子投标文件。</w:t>
      </w:r>
      <w:bookmarkStart w:id="30" w:name="_Toc20823298"/>
      <w:bookmarkEnd w:id="30"/>
      <w:bookmarkStart w:id="31" w:name="_Toc16938542"/>
      <w:bookmarkEnd w:id="31"/>
    </w:p>
    <w:p w14:paraId="570B7ABF">
      <w:pPr>
        <w:keepNext w:val="0"/>
        <w:keepLines w:val="0"/>
        <w:pageBreakBefore w:val="0"/>
        <w:shd w:val="clear" w:color="auto" w:fill="auto"/>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7.2</w:t>
      </w:r>
      <w:r>
        <w:rPr>
          <w:rFonts w:hint="eastAsia" w:ascii="宋体" w:hAnsi="宋体" w:eastAsia="宋体" w:cs="宋体"/>
          <w:b/>
          <w:color w:val="auto"/>
          <w:sz w:val="24"/>
          <w:highlight w:val="none"/>
        </w:rPr>
        <w:t>、投标截止时间</w:t>
      </w:r>
    </w:p>
    <w:p w14:paraId="1D59F8FA">
      <w:pPr>
        <w:keepNext w:val="0"/>
        <w:keepLines w:val="0"/>
        <w:pageBreakBefore w:val="0"/>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1投标人上传电子投标文件的时间不得迟于招标公告中规定的投标截止时间。</w:t>
      </w:r>
    </w:p>
    <w:p w14:paraId="170D1835">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s="Times New Roman"/>
          <w:color w:val="auto"/>
          <w:sz w:val="24"/>
          <w:highlight w:val="none"/>
        </w:rPr>
        <w:t>投标人应充分考虑到网络环境</w:t>
      </w:r>
      <w:r>
        <w:rPr>
          <w:rFonts w:hint="eastAsia" w:ascii="宋体" w:hAnsi="宋体" w:eastAsia="宋体"/>
          <w:color w:val="auto"/>
          <w:sz w:val="24"/>
          <w:highlight w:val="none"/>
        </w:rPr>
        <w:t>、网络带宽等风险因素，如因投标人自身原因造成的电子投标文件上传不成功的按照本招标文件第二</w:t>
      </w:r>
      <w:r>
        <w:rPr>
          <w:rFonts w:hint="eastAsia" w:ascii="宋体" w:hAnsi="宋体" w:eastAsia="宋体"/>
          <w:color w:val="auto"/>
          <w:sz w:val="24"/>
          <w:highlight w:val="none"/>
          <w:lang w:val="en-US" w:eastAsia="zh-CN"/>
        </w:rPr>
        <w:t>部分</w:t>
      </w:r>
      <w:r>
        <w:rPr>
          <w:rFonts w:hint="eastAsia" w:ascii="宋体" w:hAnsi="宋体" w:eastAsia="宋体"/>
          <w:color w:val="auto"/>
          <w:sz w:val="24"/>
          <w:highlight w:val="none"/>
        </w:rPr>
        <w:t>第</w:t>
      </w: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1.2条 规定做无效投标处理。</w:t>
      </w:r>
    </w:p>
    <w:p w14:paraId="1780216B">
      <w:pPr>
        <w:keepNext w:val="0"/>
        <w:keepLines w:val="0"/>
        <w:pageBreakBefore w:val="0"/>
        <w:spacing w:line="440" w:lineRule="exact"/>
        <w:ind w:firstLine="480"/>
        <w:rPr>
          <w:rFonts w:hint="eastAsia"/>
          <w:color w:val="auto"/>
          <w:highlight w:val="none"/>
        </w:rPr>
      </w:pPr>
      <w:r>
        <w:rPr>
          <w:rFonts w:hint="eastAsia" w:ascii="宋体" w:hAnsi="宋体" w:eastAsia="宋体"/>
          <w:color w:val="auto"/>
          <w:sz w:val="24"/>
          <w:highlight w:val="none"/>
        </w:rPr>
        <w:t>1</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2.2</w:t>
      </w:r>
      <w:r>
        <w:rPr>
          <w:rFonts w:hint="eastAsia" w:ascii="宋体" w:hAnsi="宋体" w:eastAsia="宋体"/>
          <w:color w:val="auto"/>
          <w:sz w:val="24"/>
          <w:highlight w:val="none"/>
        </w:rPr>
        <w:t>采购代理机构可以按照规定，通过修改招标文件酌情延长投标截止时间，在此情况下，投标人的所有权利和义务以及投标人受制的截止时间均应以延长后新的截止时间为准。</w:t>
      </w:r>
    </w:p>
    <w:p w14:paraId="48CFBFF4">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17</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、投标文件被拒绝接收的情形</w:t>
      </w:r>
    </w:p>
    <w:p w14:paraId="28C4AC4C">
      <w:pPr>
        <w:keepNext w:val="0"/>
        <w:keepLines w:val="0"/>
        <w:pageBreakBefore w:val="0"/>
        <w:spacing w:line="440" w:lineRule="exact"/>
        <w:ind w:firstLine="480"/>
        <w:rPr>
          <w:rFonts w:hint="eastAsia" w:ascii="宋体" w:hAnsi="宋体" w:cs="宋体"/>
          <w:color w:val="auto"/>
          <w:sz w:val="20"/>
          <w:highlight w:val="none"/>
        </w:rPr>
      </w:pPr>
      <w:r>
        <w:rPr>
          <w:rFonts w:hint="eastAsia" w:ascii="宋体" w:hAnsi="宋体" w:cs="宋体"/>
          <w:color w:val="auto"/>
          <w:sz w:val="24"/>
          <w:highlight w:val="none"/>
        </w:rPr>
        <w:t>17.</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1</w:t>
      </w:r>
      <w:bookmarkStart w:id="32" w:name="EB200c38d7a1c345f29b604b38d510a951"/>
      <w:r>
        <w:rPr>
          <w:rFonts w:hint="eastAsia" w:ascii="宋体" w:hAnsi="宋体" w:eastAsia="宋体"/>
          <w:color w:val="auto"/>
          <w:sz w:val="24"/>
          <w:highlight w:val="none"/>
        </w:rPr>
        <w:t>采购代理机构拒绝接收在其规定的投标截止时间后上传的任何投标文件。</w:t>
      </w:r>
      <w:r>
        <w:rPr>
          <w:rFonts w:hint="eastAsia" w:ascii="宋体" w:hAnsi="宋体" w:cs="宋体"/>
          <w:color w:val="auto"/>
          <w:sz w:val="20"/>
          <w:highlight w:val="none"/>
        </w:rPr>
        <w:t xml:space="preserve"> </w:t>
      </w:r>
      <w:bookmarkEnd w:id="32"/>
    </w:p>
    <w:p w14:paraId="33821044">
      <w:pPr>
        <w:keepNext w:val="0"/>
        <w:keepLines w:val="0"/>
        <w:pageBreakBefore w:val="0"/>
        <w:spacing w:line="440" w:lineRule="exact"/>
        <w:ind w:firstLine="480"/>
        <w:rPr>
          <w:rFonts w:hint="eastAsia" w:ascii="宋体" w:hAnsi="宋体" w:eastAsia="宋体" w:cs="Times New Roman"/>
          <w:b/>
          <w:bCs/>
          <w:color w:val="auto"/>
          <w:sz w:val="24"/>
          <w:highlight w:val="none"/>
        </w:rPr>
      </w:pPr>
      <w:bookmarkStart w:id="33" w:name="_Toc513029228"/>
      <w:bookmarkStart w:id="34" w:name="_Toc16938544"/>
      <w:bookmarkStart w:id="35" w:name="_Toc20823300"/>
      <w:r>
        <w:rPr>
          <w:rFonts w:hint="eastAsia" w:ascii="宋体" w:hAnsi="宋体" w:eastAsia="宋体" w:cs="Times New Roman"/>
          <w:b/>
          <w:bCs/>
          <w:color w:val="auto"/>
          <w:sz w:val="24"/>
          <w:highlight w:val="none"/>
          <w:lang w:val="en-US" w:eastAsia="zh-CN"/>
        </w:rPr>
        <w:t>17.4、投标文件的撤回和修改</w:t>
      </w:r>
      <w:bookmarkEnd w:id="33"/>
      <w:bookmarkEnd w:id="34"/>
      <w:bookmarkEnd w:id="35"/>
    </w:p>
    <w:p w14:paraId="0E2B2881">
      <w:pPr>
        <w:keepNext w:val="0"/>
        <w:keepLines w:val="0"/>
        <w:pageBreakBefore w:val="0"/>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17.4.1投标文件的撤回</w:t>
      </w:r>
    </w:p>
    <w:p w14:paraId="379F1269">
      <w:pPr>
        <w:keepNext w:val="0"/>
        <w:keepLines w:val="0"/>
        <w:pageBreakBefore w:val="0"/>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17.4.1.1电子投标文件的撤回</w:t>
      </w:r>
    </w:p>
    <w:p w14:paraId="5759D74F">
      <w:pPr>
        <w:keepNext w:val="0"/>
        <w:keepLines w:val="0"/>
        <w:pageBreakBefore w:val="0"/>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投标人可在投标截止时间前，撤回其电子投标文件，具体操作方法见《操作手册》。</w:t>
      </w:r>
    </w:p>
    <w:p w14:paraId="58E600D5">
      <w:pPr>
        <w:keepNext w:val="0"/>
        <w:keepLines w:val="0"/>
        <w:pageBreakBefore w:val="0"/>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17.4.1.2投标人撤回电子投标文件，则认为其不再参与本项目投标活动。</w:t>
      </w:r>
    </w:p>
    <w:p w14:paraId="0239F1D6">
      <w:pPr>
        <w:keepNext w:val="0"/>
        <w:keepLines w:val="0"/>
        <w:pageBreakBefore w:val="0"/>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17.4.2 投标文件的修改</w:t>
      </w:r>
    </w:p>
    <w:p w14:paraId="1E68DFFD">
      <w:pPr>
        <w:keepNext w:val="0"/>
        <w:keepLines w:val="0"/>
        <w:pageBreakBefore w:val="0"/>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17.4.2.1投标人可在投标截止时间前，对其电子投标文件进行修改，具体操作方法见《操作手册》。</w:t>
      </w:r>
    </w:p>
    <w:p w14:paraId="04C890AB">
      <w:pPr>
        <w:keepNext w:val="0"/>
        <w:keepLines w:val="0"/>
        <w:pageBreakBefore w:val="0"/>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17.4.2.2在投标截止时间之后，投标人不得对其电子投标文件作任何修改。</w:t>
      </w:r>
    </w:p>
    <w:p w14:paraId="174B0E39">
      <w:pPr>
        <w:keepNext w:val="0"/>
        <w:keepLines w:val="0"/>
        <w:pageBreakBefore w:val="0"/>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17.4.3在投标截止时间至招标文件中规定的投标有效期满之间的这段时间内，投标人不得撤回其投标。</w:t>
      </w:r>
    </w:p>
    <w:p w14:paraId="7A6FC41C">
      <w:pPr>
        <w:pStyle w:val="588"/>
        <w:keepNext w:val="0"/>
        <w:keepLines w:val="0"/>
        <w:pageBreakBefore w:val="0"/>
        <w:shd w:val="clear" w:color="auto" w:fill="auto"/>
        <w:spacing w:line="440" w:lineRule="exact"/>
        <w:outlineLvl w:val="1"/>
        <w:rPr>
          <w:rFonts w:hint="eastAsia" w:ascii="宋体" w:hAnsi="宋体" w:eastAsia="宋体" w:cs="宋体"/>
          <w:color w:val="auto"/>
          <w:highlight w:val="none"/>
        </w:rPr>
      </w:pPr>
      <w:bookmarkStart w:id="36" w:name="_Toc514054476"/>
      <w:bookmarkStart w:id="37" w:name="_Toc11452"/>
      <w:r>
        <w:rPr>
          <w:rFonts w:hint="eastAsia" w:ascii="宋体" w:hAnsi="宋体" w:eastAsia="宋体" w:cs="宋体"/>
          <w:color w:val="auto"/>
          <w:highlight w:val="none"/>
        </w:rPr>
        <w:t>五、无效标、</w:t>
      </w:r>
      <w:r>
        <w:rPr>
          <w:rFonts w:hint="eastAsia" w:ascii="宋体" w:hAnsi="宋体" w:eastAsia="宋体" w:cs="宋体"/>
          <w:color w:val="auto"/>
          <w:highlight w:val="none"/>
          <w:lang w:eastAsia="zh-CN"/>
        </w:rPr>
        <w:t>投标被拒绝</w:t>
      </w:r>
      <w:r>
        <w:rPr>
          <w:rFonts w:hint="eastAsia" w:ascii="宋体" w:hAnsi="宋体" w:eastAsia="宋体" w:cs="宋体"/>
          <w:color w:val="auto"/>
          <w:highlight w:val="none"/>
        </w:rPr>
        <w:t>、串通投标认定条款</w:t>
      </w:r>
      <w:bookmarkEnd w:id="36"/>
      <w:bookmarkEnd w:id="37"/>
    </w:p>
    <w:p w14:paraId="13619A27">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18、以下情形将视为无效投标</w:t>
      </w:r>
      <w:bookmarkStart w:id="38" w:name="EB94942e5430df4fb8a077f3cf7667f212"/>
    </w:p>
    <w:p w14:paraId="00DD8329">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1.1投标人在苏采云系统规定的时间内未成功解密电子投标文件的。</w:t>
      </w:r>
    </w:p>
    <w:p w14:paraId="3E6C1B3C">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1.2投标人未按照招标文件要求上传电子投标文件的。</w:t>
      </w:r>
    </w:p>
    <w:p w14:paraId="0171EF42">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1.3同一投标人提交两个（含两个）以上不同的投标报价的。</w:t>
      </w:r>
    </w:p>
    <w:p w14:paraId="7FAD5A4A">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1.4投标人不具备招标文件中规定资格要求的。</w:t>
      </w:r>
    </w:p>
    <w:p w14:paraId="1FF1A77F">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1.5投标人的报价超过了采购预算或最高限价的。</w:t>
      </w:r>
    </w:p>
    <w:p w14:paraId="36F6B9A5">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1.6未通过符合性审查的。</w:t>
      </w:r>
    </w:p>
    <w:p w14:paraId="60ADC2C2">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1.7不符合招标文件中规定的实质性要求和条件的</w:t>
      </w:r>
      <w:r>
        <w:rPr>
          <w:rFonts w:hint="eastAsia" w:ascii="宋体" w:hAnsi="宋体" w:eastAsia="宋体"/>
          <w:color w:val="auto"/>
          <w:sz w:val="24"/>
          <w:highlight w:val="none"/>
          <w:lang w:eastAsia="zh-CN"/>
        </w:rPr>
        <w:t>。</w:t>
      </w:r>
    </w:p>
    <w:p w14:paraId="4F97A9FF">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657158C">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1.9投标文件含有采购人不能接受的附加条件的。</w:t>
      </w:r>
    </w:p>
    <w:p w14:paraId="087162AB">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D3785C9">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18.1.11</w:t>
      </w:r>
      <w:r>
        <w:rPr>
          <w:rFonts w:ascii="宋体" w:hAnsi="宋体" w:eastAsia="宋体"/>
          <w:color w:val="auto"/>
          <w:sz w:val="24"/>
          <w:highlight w:val="none"/>
        </w:rPr>
        <w:t>本项目采购产品</w:t>
      </w:r>
      <w:r>
        <w:rPr>
          <w:rFonts w:hint="eastAsia" w:ascii="宋体" w:hAnsi="宋体" w:eastAsia="宋体"/>
          <w:color w:val="auto"/>
          <w:sz w:val="24"/>
          <w:highlight w:val="none"/>
        </w:rPr>
        <w:t>如</w:t>
      </w:r>
      <w:r>
        <w:rPr>
          <w:rFonts w:ascii="宋体" w:hAnsi="宋体" w:eastAsia="宋体"/>
          <w:color w:val="auto"/>
          <w:sz w:val="24"/>
          <w:highlight w:val="none"/>
        </w:rPr>
        <w:t>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6C17879">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1.12投标文件未按照招标文件要求加盖公章的。</w:t>
      </w:r>
    </w:p>
    <w:p w14:paraId="4A7F85F7">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1.1</w:t>
      </w:r>
      <w:r>
        <w:rPr>
          <w:rFonts w:hint="eastAsia" w:ascii="宋体" w:hAnsi="宋体" w:eastAsia="宋体"/>
          <w:color w:val="auto"/>
          <w:sz w:val="24"/>
          <w:highlight w:val="none"/>
          <w:lang w:val="en-US" w:eastAsia="zh-CN"/>
        </w:rPr>
        <w:t>3</w:t>
      </w:r>
      <w:r>
        <w:rPr>
          <w:rFonts w:hint="eastAsia" w:ascii="宋体" w:hAnsi="宋体" w:cs="宋体"/>
          <w:color w:val="auto"/>
          <w:sz w:val="24"/>
          <w:highlight w:val="none"/>
        </w:rPr>
        <w:t>投标文件含有采购人不能接受的附加条件的；</w:t>
      </w:r>
    </w:p>
    <w:p w14:paraId="29DCDB9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1.1</w:t>
      </w:r>
      <w:r>
        <w:rPr>
          <w:rFonts w:hint="eastAsia" w:ascii="宋体" w:hAnsi="宋体" w:eastAsia="宋体"/>
          <w:color w:val="auto"/>
          <w:sz w:val="24"/>
          <w:highlight w:val="none"/>
          <w:lang w:val="en-US" w:eastAsia="zh-CN"/>
        </w:rPr>
        <w:t>4</w:t>
      </w:r>
      <w:r>
        <w:rPr>
          <w:rFonts w:hint="eastAsia" w:ascii="宋体" w:hAnsi="宋体" w:cs="宋体"/>
          <w:color w:val="auto"/>
          <w:sz w:val="24"/>
          <w:highlight w:val="none"/>
        </w:rPr>
        <w:t>投标人有本招标文件规定的恶意串通投标情形的；</w:t>
      </w:r>
    </w:p>
    <w:p w14:paraId="013D72B7">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1.1</w:t>
      </w:r>
      <w:r>
        <w:rPr>
          <w:rFonts w:hint="eastAsia" w:ascii="宋体" w:hAnsi="宋体" w:eastAsia="宋体"/>
          <w:color w:val="auto"/>
          <w:sz w:val="24"/>
          <w:highlight w:val="none"/>
          <w:lang w:val="en-US" w:eastAsia="zh-CN"/>
        </w:rPr>
        <w:t>5</w:t>
      </w:r>
      <w:r>
        <w:rPr>
          <w:rFonts w:hint="eastAsia" w:ascii="宋体" w:hAnsi="宋体" w:cs="宋体"/>
          <w:color w:val="auto"/>
          <w:sz w:val="24"/>
          <w:highlight w:val="none"/>
        </w:rPr>
        <w:t>其它评标委员会认为有必要取消的投标；</w:t>
      </w:r>
    </w:p>
    <w:p w14:paraId="5A0DD15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eastAsia="宋体"/>
          <w:color w:val="auto"/>
          <w:sz w:val="24"/>
          <w:highlight w:val="none"/>
          <w:lang w:eastAsia="zh-CN"/>
        </w:rPr>
        <w:t>18.</w:t>
      </w:r>
      <w:r>
        <w:rPr>
          <w:rFonts w:hint="eastAsia" w:ascii="宋体" w:hAnsi="宋体" w:eastAsia="宋体"/>
          <w:color w:val="auto"/>
          <w:sz w:val="24"/>
          <w:highlight w:val="none"/>
        </w:rPr>
        <w:t>1.1</w:t>
      </w:r>
      <w:r>
        <w:rPr>
          <w:rFonts w:hint="eastAsia" w:ascii="宋体" w:hAnsi="宋体" w:eastAsia="宋体"/>
          <w:color w:val="auto"/>
          <w:sz w:val="24"/>
          <w:highlight w:val="none"/>
          <w:lang w:val="en-US" w:eastAsia="zh-CN"/>
        </w:rPr>
        <w:t>6</w:t>
      </w:r>
      <w:r>
        <w:rPr>
          <w:rFonts w:hint="eastAsia" w:ascii="宋体" w:hAnsi="宋体" w:eastAsia="宋体"/>
          <w:color w:val="auto"/>
          <w:sz w:val="24"/>
          <w:highlight w:val="none"/>
        </w:rPr>
        <w:t>其他法律、法规及本招标文件规定的属无效投标的情形。</w:t>
      </w:r>
      <w:bookmarkEnd w:id="38"/>
    </w:p>
    <w:p w14:paraId="457F2AEA">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19、以下情形投标将被拒绝</w:t>
      </w:r>
    </w:p>
    <w:p w14:paraId="473885FF">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19.1符合专业条件的供应商或者对招标文件作实质响应的供应商不足三家的（20条规定情形除外）；</w:t>
      </w:r>
    </w:p>
    <w:p w14:paraId="2AC13FB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19.2出现影响采购公正的违法、违规行为的；</w:t>
      </w:r>
    </w:p>
    <w:p w14:paraId="320FBF81">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19.3因重大变故，采购任务取消的。</w:t>
      </w:r>
    </w:p>
    <w:p w14:paraId="066E59F5">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19.4</w:t>
      </w:r>
      <w:r>
        <w:rPr>
          <w:rFonts w:hint="eastAsia" w:ascii="宋体" w:hAnsi="宋体" w:eastAsia="宋体"/>
          <w:color w:val="auto"/>
          <w:sz w:val="24"/>
          <w:highlight w:val="none"/>
        </w:rPr>
        <w:t>评标委员会认定招标文件存在歧义、重大缺陷导致评审工作无法进行。</w:t>
      </w:r>
    </w:p>
    <w:p w14:paraId="28884D4C">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19.5</w:t>
      </w:r>
      <w:r>
        <w:rPr>
          <w:rFonts w:hint="eastAsia" w:ascii="宋体" w:hAnsi="宋体" w:eastAsia="宋体"/>
          <w:color w:val="auto"/>
          <w:sz w:val="24"/>
          <w:highlight w:val="none"/>
        </w:rPr>
        <w:t>因苏采云系统故障原因造成开标不成功的。</w:t>
      </w:r>
    </w:p>
    <w:p w14:paraId="4C87FA5B">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19.6</w:t>
      </w:r>
      <w:r>
        <w:rPr>
          <w:rFonts w:hint="eastAsia" w:ascii="宋体" w:hAnsi="宋体" w:eastAsia="宋体"/>
          <w:color w:val="auto"/>
          <w:sz w:val="24"/>
          <w:highlight w:val="none"/>
        </w:rPr>
        <w:t>投标截止时间结束后参加投标的供应商不足三家的处理：</w:t>
      </w:r>
    </w:p>
    <w:p w14:paraId="3B8E5CC1">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19.7</w:t>
      </w:r>
      <w:r>
        <w:rPr>
          <w:rFonts w:hint="eastAsia" w:ascii="宋体" w:hAnsi="宋体" w:eastAsia="宋体"/>
          <w:color w:val="auto"/>
          <w:sz w:val="24"/>
          <w:highlight w:val="none"/>
        </w:rPr>
        <w:t>如出现投标截止时间结束后参加投标的供应商或者在评标期间对招标文件做出实质响应的供应商不足三家情况，按政府采购相关规定执行。</w:t>
      </w:r>
    </w:p>
    <w:p w14:paraId="54CD980E">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20、投标人不足三家情形处理</w:t>
      </w:r>
    </w:p>
    <w:p w14:paraId="05CC08E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14:paraId="3EC5E02D">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21、凡有以下情形者，一经查实，取消中标候选人资格条款</w:t>
      </w:r>
    </w:p>
    <w:p w14:paraId="4F5C214C">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21.1提供虚假材料谋取中标的；</w:t>
      </w:r>
    </w:p>
    <w:p w14:paraId="11D7193F">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21.2采取不正当手段诋毁、排挤其他投标人的；</w:t>
      </w:r>
    </w:p>
    <w:p w14:paraId="36D6E39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21.3与采购人、其他投标人或者采购代理机构恶意串通的；</w:t>
      </w:r>
    </w:p>
    <w:p w14:paraId="38882357">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21.4向采购人、采购代理机构行贿或者提供其他不正当利益的；</w:t>
      </w:r>
    </w:p>
    <w:p w14:paraId="3F0AF76C">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21.5未在规定时间内与采购人签订采购合同的；</w:t>
      </w:r>
    </w:p>
    <w:p w14:paraId="22E6FC59">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21.6法律、法规规定的其它情况。</w:t>
      </w:r>
    </w:p>
    <w:p w14:paraId="2E8E5DF4">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22、恶意串通投标的情形</w:t>
      </w:r>
    </w:p>
    <w:p w14:paraId="1850ADF2">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22.1供应商直接或间接从采购人或采购代理机构处获得其他供应商的投标情况，并修改其投标文件；</w:t>
      </w:r>
    </w:p>
    <w:p w14:paraId="659ED2A5">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22.2评审活动开始前供应商直接或间接从采购人或采购代理机构处获得评标委员会组成人员情况；</w:t>
      </w:r>
    </w:p>
    <w:p w14:paraId="5D3DB157">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22.3供应商接受采购人或采购代理机构授意撤换、修改投标文件；</w:t>
      </w:r>
    </w:p>
    <w:p w14:paraId="11088B9D">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22.4供应商之间协商投标报价、技术方案等投标文件实质性内容；</w:t>
      </w:r>
    </w:p>
    <w:p w14:paraId="69F440DC">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22.5属于同一集团、协会、商会等组织成员的供应商按照该组织要求协同投标；</w:t>
      </w:r>
    </w:p>
    <w:p w14:paraId="1B2CC83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22.6供应商之间事先约定由某一特定供应商中标、成交；</w:t>
      </w:r>
    </w:p>
    <w:p w14:paraId="4446C996">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22.7供应商之间商定部分供应商放弃投标或者放弃中标、成交；</w:t>
      </w:r>
    </w:p>
    <w:p w14:paraId="0758D1F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22.8供应商与采购人或采购代理机构之间、供应商相互之间为谋求特定供应商中标成交或者排斥其他供应商的其他串通行为；</w:t>
      </w:r>
    </w:p>
    <w:p w14:paraId="34CB609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22.9不同投标人的投标文件由同一单位或者个人编制；</w:t>
      </w:r>
    </w:p>
    <w:p w14:paraId="4B85C9D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22.10不同投标人委托同一单位或者个人办理投标事宜；</w:t>
      </w:r>
    </w:p>
    <w:p w14:paraId="15463AD6">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22.11不同投标人的投标文件载明的项目管理成员或者联系人员为同一人；</w:t>
      </w:r>
    </w:p>
    <w:p w14:paraId="07BB41D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22.12不同投标人的投标文件异常一致或者投标报价呈规律性差异；</w:t>
      </w:r>
    </w:p>
    <w:p w14:paraId="295B44FF">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22.13不同投标人的投标文件相互混装；</w:t>
      </w:r>
    </w:p>
    <w:p w14:paraId="3C9F32D5">
      <w:pPr>
        <w:pStyle w:val="588"/>
        <w:keepNext w:val="0"/>
        <w:keepLines w:val="0"/>
        <w:pageBreakBefore w:val="0"/>
        <w:shd w:val="clear" w:color="auto" w:fill="auto"/>
        <w:spacing w:line="440" w:lineRule="exact"/>
        <w:outlineLvl w:val="1"/>
        <w:rPr>
          <w:rFonts w:hint="eastAsia" w:ascii="宋体" w:hAnsi="宋体" w:eastAsia="宋体" w:cs="宋体"/>
          <w:color w:val="auto"/>
          <w:highlight w:val="none"/>
        </w:rPr>
      </w:pPr>
      <w:bookmarkStart w:id="39" w:name="_Toc514054477"/>
      <w:bookmarkStart w:id="40" w:name="_Toc29013"/>
      <w:r>
        <w:rPr>
          <w:rFonts w:hint="eastAsia" w:ascii="宋体" w:hAnsi="宋体" w:eastAsia="宋体" w:cs="宋体"/>
          <w:color w:val="auto"/>
          <w:highlight w:val="none"/>
        </w:rPr>
        <w:t>六、开标、资格审查、评标程序</w:t>
      </w:r>
      <w:bookmarkEnd w:id="39"/>
      <w:bookmarkEnd w:id="40"/>
    </w:p>
    <w:p w14:paraId="5D3E0ED1">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23、开标会议</w:t>
      </w:r>
    </w:p>
    <w:p w14:paraId="2A694AB6">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.1采购代理机构将在招标公告中规定的时间和地点组织公开开标。投标人应当按照《操作手册》规定，参加开标活动和在苏采云系统规定的时间内对投标文件进行解密。</w:t>
      </w:r>
    </w:p>
    <w:p w14:paraId="01CC1DC0">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.2开标仪式由采购代理机构组织。苏采云系统将自动对项目进行开标，并宣布各投标人名称和投标价格。</w:t>
      </w:r>
    </w:p>
    <w:p w14:paraId="4F0DB7EC">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.3投标人在开标过程中涉及到的投标文件解密、开标结果确认等工作，应按照《操作手册》规定执行。</w:t>
      </w:r>
    </w:p>
    <w:p w14:paraId="29CB3FB7">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.4投标人如果对开标过程和开标记录有疑义，应当根据《操作手册》规定提出，如苏采云系统中《开标记录表》宣布后</w:t>
      </w:r>
      <w:r>
        <w:rPr>
          <w:rFonts w:hint="eastAsia" w:ascii="宋体" w:hAnsi="宋体" w:eastAsia="宋体"/>
          <w:color w:val="auto"/>
          <w:sz w:val="24"/>
          <w:highlight w:val="none"/>
          <w:lang w:val="en-US" w:eastAsia="zh-CN"/>
        </w:rPr>
        <w:t>规定时间</w:t>
      </w:r>
      <w:r>
        <w:rPr>
          <w:rFonts w:hint="eastAsia" w:ascii="宋体" w:hAnsi="宋体" w:eastAsia="宋体"/>
          <w:color w:val="auto"/>
          <w:sz w:val="24"/>
          <w:highlight w:val="none"/>
        </w:rPr>
        <w:t>内未提出的，视同认可开标结果。</w:t>
      </w:r>
    </w:p>
    <w:p w14:paraId="580BD90E">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val="en-US" w:eastAsia="zh-CN"/>
        </w:rPr>
        <w:t>4</w:t>
      </w:r>
      <w:r>
        <w:rPr>
          <w:rFonts w:hint="eastAsia" w:ascii="宋体" w:hAnsi="宋体" w:cs="宋体"/>
          <w:b/>
          <w:color w:val="auto"/>
          <w:sz w:val="24"/>
          <w:highlight w:val="none"/>
        </w:rPr>
        <w:t>、资格审查</w:t>
      </w:r>
    </w:p>
    <w:p w14:paraId="676C2D54">
      <w:pPr>
        <w:keepNext w:val="0"/>
        <w:keepLines w:val="0"/>
        <w:pageBreakBefore w:val="0"/>
        <w:shd w:val="clear" w:color="auto" w:fill="auto"/>
        <w:spacing w:line="440" w:lineRule="exact"/>
        <w:ind w:firstLine="480"/>
        <w:rPr>
          <w:rFonts w:hint="eastAsia" w:ascii="宋体" w:hAnsi="宋体" w:cs="宋体"/>
          <w:color w:val="auto"/>
          <w:sz w:val="24"/>
          <w:highlight w:val="none"/>
        </w:rPr>
      </w:pPr>
      <w:bookmarkStart w:id="41" w:name="EBa9c0a2c9e523494487594c65b2a92370"/>
      <w:r>
        <w:rPr>
          <w:rFonts w:hint="eastAsia" w:ascii="宋体" w:hAnsi="宋体" w:cs="宋体"/>
          <w:color w:val="auto"/>
          <w:sz w:val="24"/>
          <w:highlight w:val="none"/>
        </w:rPr>
        <w:t>开标结束后，采购人或经采购人委托的采购代理机构依法据招标文件规定对投标人的资格证明文件等进行审查。</w:t>
      </w:r>
      <w:bookmarkEnd w:id="41"/>
    </w:p>
    <w:p w14:paraId="0276C082">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、评标委员会</w:t>
      </w:r>
    </w:p>
    <w:p w14:paraId="08F5B49F">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采购人应根据本项目的特点依法组建评标委员会。评标委员会负责具体评标事务，对资格审查合格的投标人进行评标，并独立履行相关职责。</w:t>
      </w:r>
    </w:p>
    <w:p w14:paraId="2DE16C6F">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、评标原则</w:t>
      </w:r>
    </w:p>
    <w:p w14:paraId="5710B04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“公平、公正、客观、择优”为评标的基本原则，评标委员会将根据这一原则，公正、平等地对待各投标人。</w:t>
      </w:r>
    </w:p>
    <w:p w14:paraId="6C90FF1D">
      <w:pPr>
        <w:keepNext w:val="0"/>
        <w:keepLines w:val="0"/>
        <w:pageBreakBefore w:val="0"/>
        <w:shd w:val="clear" w:color="auto" w:fill="auto"/>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、评标过程的保密与公正</w:t>
      </w:r>
    </w:p>
    <w:p w14:paraId="57B125AC">
      <w:pPr>
        <w:keepNext w:val="0"/>
        <w:keepLines w:val="0"/>
        <w:pageBreakBefore w:val="0"/>
        <w:shd w:val="clear" w:color="auto" w:fill="auto"/>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rPr>
        <w:t>.1凡是与审查、澄清、评价和比较投标的有关资料以及授标建议等，采购人、评委、采购代理机构均不得向投标人或与评标无关的其他人员透露。</w:t>
      </w:r>
    </w:p>
    <w:p w14:paraId="354F632F">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rPr>
        <w:t>.2在评标过程中，投标人不得以任何行为影响评标过程，否则其投标文件将被作为无效投标文件。</w:t>
      </w:r>
    </w:p>
    <w:p w14:paraId="5976F844">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rPr>
        <w:t>.3采购代理机构和评标委员会不向未中标的投标人解释未中标原因，也不公布评标过程中的相关细节。</w:t>
      </w:r>
    </w:p>
    <w:p w14:paraId="52FBAAF5">
      <w:pPr>
        <w:keepNext w:val="0"/>
        <w:keepLines w:val="0"/>
        <w:pageBreakBefore w:val="0"/>
        <w:spacing w:line="440" w:lineRule="exact"/>
        <w:ind w:firstLine="480"/>
        <w:rPr>
          <w:rFonts w:hint="eastAsia"/>
          <w:color w:val="auto"/>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rPr>
        <w:t>.4采用综合评分法的项目，未中标的投标人可于中标结果公告期限届满之日起通过苏采云系统查看自己的评审得分及排序情况。</w:t>
      </w:r>
    </w:p>
    <w:p w14:paraId="69055F18">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28、评标程序</w:t>
      </w:r>
    </w:p>
    <w:p w14:paraId="1292036B">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42" w:name="EB48e5ba2667fe4390bf237677a47020dd"/>
      <w:r>
        <w:rPr>
          <w:rFonts w:hint="eastAsia" w:ascii="宋体" w:hAnsi="宋体" w:cs="宋体"/>
          <w:color w:val="auto"/>
          <w:sz w:val="24"/>
          <w:highlight w:val="none"/>
        </w:rPr>
        <w:t>所谓重大偏离是指投标人投标文件中所述设备质量、技术规格、数量、交货期和服务等明显不能满足招标文件要求。</w:t>
      </w:r>
      <w:bookmarkEnd w:id="42"/>
      <w:r>
        <w:rPr>
          <w:rFonts w:hint="eastAsia" w:ascii="宋体" w:hAnsi="宋体" w:cs="宋体"/>
          <w:color w:val="auto"/>
          <w:sz w:val="24"/>
          <w:highlight w:val="none"/>
        </w:rPr>
        <w:t>重大偏离的认定须经评标委员会三分之二以上同意。</w:t>
      </w:r>
    </w:p>
    <w:p w14:paraId="41A1AB2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2669C2FF">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28.2澄清有关问题。</w:t>
      </w:r>
    </w:p>
    <w:p w14:paraId="0F021EF7">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14CC946F">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评标委员会并非对每个投标人都做澄清要求。</w:t>
      </w:r>
    </w:p>
    <w:p w14:paraId="31249D32">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p>
    <w:p w14:paraId="0C6CD8A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28.2.3</w:t>
      </w:r>
      <w:r>
        <w:rPr>
          <w:rFonts w:hint="eastAsia" w:ascii="宋体" w:hAnsi="宋体" w:cs="宋体"/>
          <w:color w:val="auto"/>
          <w:sz w:val="24"/>
          <w:highlight w:val="none"/>
        </w:rPr>
        <w:t>接到评委会澄清、说明和补正要求的投标人如未按规定做出澄清、说明和补正，其风险由投标人自行承担。</w:t>
      </w:r>
    </w:p>
    <w:p w14:paraId="6BD0A620">
      <w:pPr>
        <w:keepNext w:val="0"/>
        <w:keepLines w:val="0"/>
        <w:pageBreakBefore w:val="0"/>
        <w:shd w:val="clear" w:color="auto" w:fill="auto"/>
        <w:spacing w:line="440" w:lineRule="exact"/>
        <w:ind w:firstLine="600"/>
        <w:rPr>
          <w:rFonts w:hint="eastAsia" w:ascii="宋体" w:hAnsi="宋体" w:cs="宋体"/>
          <w:color w:val="auto"/>
          <w:sz w:val="24"/>
          <w:highlight w:val="none"/>
        </w:rPr>
      </w:pPr>
      <w:r>
        <w:rPr>
          <w:rFonts w:hint="eastAsia" w:ascii="宋体" w:hAnsi="宋体" w:cs="宋体"/>
          <w:color w:val="auto"/>
          <w:sz w:val="24"/>
          <w:highlight w:val="none"/>
        </w:rPr>
        <w:t>28.2.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投标文件报价出现前后不一致的，除招标文件另有规定外，按照下列规定修正：</w:t>
      </w:r>
    </w:p>
    <w:p w14:paraId="05649C4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14:paraId="762AC36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14:paraId="1394955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14:paraId="77DC425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14:paraId="4434B0E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同时出现两种以上不一致的，按照前款规定的顺序修正。修正后的报价，经投标人确认后产生约束力，投标人不确认的，其投标无效。</w:t>
      </w:r>
    </w:p>
    <w:p w14:paraId="74CE869A">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F2F772F">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28.4比较。评标委员会将按招标文件中规定的评标方法和标准，对符合性检查合格的投标文件进行商务和技术评比。</w:t>
      </w:r>
    </w:p>
    <w:p w14:paraId="3605E139">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28.5推荐中标候选人。评标委员会按照招标文件中规定的评标方法和标准推荐中标候选人。</w:t>
      </w:r>
      <w:bookmarkStart w:id="43" w:name="EB66024636071342209da8bda483232040"/>
      <w:r>
        <w:rPr>
          <w:rFonts w:hint="eastAsia" w:ascii="宋体" w:hAnsi="宋体" w:cs="宋体"/>
          <w:color w:val="auto"/>
          <w:sz w:val="24"/>
          <w:highlight w:val="none"/>
        </w:rPr>
        <w:t xml:space="preserve"> </w:t>
      </w:r>
      <w:bookmarkEnd w:id="43"/>
    </w:p>
    <w:p w14:paraId="526065A9">
      <w:pPr>
        <w:keepNext w:val="0"/>
        <w:keepLines w:val="0"/>
        <w:pageBreakBefore w:val="0"/>
        <w:numPr>
          <w:ilvl w:val="0"/>
          <w:numId w:val="7"/>
        </w:numPr>
        <w:shd w:val="clear" w:color="auto" w:fill="auto"/>
        <w:spacing w:line="440" w:lineRule="exact"/>
        <w:ind w:firstLine="482"/>
        <w:rPr>
          <w:rFonts w:hint="eastAsia" w:ascii="宋体" w:hAnsi="宋体" w:cs="宋体"/>
          <w:b/>
          <w:bCs/>
          <w:color w:val="auto"/>
          <w:sz w:val="24"/>
          <w:highlight w:val="none"/>
        </w:rPr>
      </w:pPr>
      <w:bookmarkStart w:id="44" w:name="EBf6bd108017b14bde8ec3ea4804c87c27"/>
      <w:r>
        <w:rPr>
          <w:rFonts w:hint="eastAsia" w:ascii="宋体" w:hAnsi="宋体" w:cs="宋体"/>
          <w:b/>
          <w:bCs/>
          <w:color w:val="auto"/>
          <w:sz w:val="24"/>
          <w:highlight w:val="none"/>
        </w:rPr>
        <w:t>政府采购政策功能落实</w:t>
      </w:r>
    </w:p>
    <w:p w14:paraId="394D9B12">
      <w:pPr>
        <w:keepNext w:val="0"/>
        <w:keepLines w:val="0"/>
        <w:pageBreakBefore w:val="0"/>
        <w:shd w:val="clear" w:color="auto" w:fill="auto"/>
        <w:spacing w:line="440" w:lineRule="exact"/>
        <w:ind w:firstLine="480"/>
        <w:rPr>
          <w:rFonts w:hint="eastAsia" w:ascii="宋体" w:hAnsi="宋体" w:cs="宋体"/>
          <w:color w:val="auto"/>
          <w:sz w:val="24"/>
          <w:highlight w:val="none"/>
        </w:rPr>
      </w:pPr>
      <w:bookmarkStart w:id="45" w:name="EBd9bc59d5f2ed4fb8a64ee2e373d8cc72"/>
      <w:r>
        <w:rPr>
          <w:rFonts w:hint="eastAsia" w:ascii="宋体" w:hAnsi="宋体" w:cs="宋体"/>
          <w:color w:val="auto"/>
          <w:sz w:val="24"/>
          <w:highlight w:val="none"/>
        </w:rPr>
        <w:t>29.1 政府采购促进中小企业发展，在政府采购活动中，供应商提供的货物、工程或者服务符合下列情形的，享受中小企业扶持政策：</w:t>
      </w:r>
    </w:p>
    <w:p w14:paraId="74D9F34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2E347C76">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007FB84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0F23B91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7E6ECB6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5E98C2F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中小企业供应商参加政府采购活动，应当出具《中小企业声明函》（格式见后附件），否则不得享受相关中小企业扶持政策。</w:t>
      </w:r>
    </w:p>
    <w:p w14:paraId="390EA5A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中小企业，是指在中华人民共和国境内依法设立，依据国务院批准的中小企业划分标准（详见《关于印发中小企业划型标准规定的通知》</w:t>
      </w:r>
    </w:p>
    <w:p w14:paraId="2C862FB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FC0400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77D795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272ACB6D">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44A401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29.5 提供的产品属于信息安全产品的，供应商应当选择经国家认证的信息安全产品投标，并提供由中国网络安全审查技术与认证中心按国家标准认证颁发的有效认证证书复印件。</w:t>
      </w:r>
    </w:p>
    <w:p w14:paraId="6EA4A4CF">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29.6 提供的产品属于政府强制采购节能产品的，供应商应当选择依据国家标准中二级能效（水效）指标认证的节能产品投标，并提供有效的节能产品认证证书复印件。</w:t>
      </w:r>
    </w:p>
    <w:p w14:paraId="749B7DB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29.7提供的产品属于环境标志产品的,供应商应当选择依据相关标准的最新版本认证的环境标志产品投标,并提供有效的环境标志产品认证证书复印件。 </w:t>
      </w:r>
      <w:bookmarkEnd w:id="45"/>
    </w:p>
    <w:p w14:paraId="60135F32">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29.8进口产品政策</w:t>
      </w:r>
    </w:p>
    <w:p w14:paraId="5A5E52D4">
      <w:pPr>
        <w:keepNext w:val="0"/>
        <w:keepLines w:val="0"/>
        <w:pageBreakBefore w:val="0"/>
        <w:shd w:val="clear" w:color="auto" w:fill="auto"/>
        <w:spacing w:line="440" w:lineRule="exact"/>
        <w:ind w:firstLine="240"/>
        <w:rPr>
          <w:rFonts w:hint="eastAsia" w:ascii="宋体" w:hAnsi="宋体" w:cs="宋体"/>
          <w:color w:val="auto"/>
          <w:sz w:val="24"/>
          <w:highlight w:val="none"/>
        </w:rPr>
      </w:pPr>
      <w:r>
        <w:rPr>
          <w:rFonts w:hint="eastAsia" w:ascii="宋体" w:hAnsi="宋体" w:cs="宋体"/>
          <w:color w:val="auto"/>
          <w:sz w:val="24"/>
          <w:highlight w:val="none"/>
        </w:rPr>
        <w:t>（1）除招标公告载明接受进口产品参加外，不允许进口产品参加。进口产品认定依照《财政部关于政府采购进口产品管理有关问题的通知》（财办库〔2008〕248号）的规定。</w:t>
      </w:r>
    </w:p>
    <w:p w14:paraId="15239EA0">
      <w:pPr>
        <w:keepNext w:val="0"/>
        <w:keepLines w:val="0"/>
        <w:pageBreakBefore w:val="0"/>
        <w:shd w:val="clear" w:color="auto" w:fill="auto"/>
        <w:spacing w:line="440" w:lineRule="exact"/>
        <w:ind w:firstLine="240"/>
        <w:rPr>
          <w:rFonts w:hint="eastAsia" w:ascii="宋体" w:hAnsi="宋体" w:cs="宋体"/>
          <w:color w:val="auto"/>
          <w:sz w:val="24"/>
          <w:highlight w:val="none"/>
        </w:rPr>
      </w:pPr>
      <w:r>
        <w:rPr>
          <w:rFonts w:hint="eastAsia" w:ascii="宋体" w:hAnsi="宋体" w:cs="宋体"/>
          <w:color w:val="auto"/>
          <w:sz w:val="24"/>
          <w:highlight w:val="none"/>
        </w:rPr>
        <w:t>（2）允许进口产品参加的，满足需求的国内产品可以参加。</w:t>
      </w:r>
    </w:p>
    <w:p w14:paraId="683013FF">
      <w:pPr>
        <w:keepNext w:val="0"/>
        <w:keepLines w:val="0"/>
        <w:pageBreakBefore w:val="0"/>
        <w:shd w:val="clear" w:color="auto" w:fill="auto"/>
        <w:spacing w:line="440" w:lineRule="exact"/>
        <w:ind w:firstLine="240"/>
        <w:rPr>
          <w:rFonts w:hint="eastAsia" w:ascii="宋体" w:hAnsi="宋体" w:cs="宋体"/>
          <w:color w:val="auto"/>
          <w:sz w:val="24"/>
          <w:highlight w:val="none"/>
        </w:rPr>
      </w:pPr>
      <w:r>
        <w:rPr>
          <w:rFonts w:hint="eastAsia" w:ascii="宋体" w:hAnsi="宋体" w:cs="宋体"/>
          <w:color w:val="auto"/>
          <w:sz w:val="24"/>
          <w:highlight w:val="none"/>
        </w:rPr>
        <w:t>（3）允许进口产品参加的，优先采购向我国企业转让技术、与我国企业签订消化吸收再创新方案的供应商的进口产品。</w:t>
      </w:r>
    </w:p>
    <w:p w14:paraId="3C83C17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29.9落实政府采购《商品包装政府采购需求标准(试行)》、《快递包装政府采购需求标准（试行）》（财办库〔2020〕123号〕、《绿色数据中心政府采购需求标准（试行）》（财库〔2023]7号）等需求标准。</w:t>
      </w:r>
    </w:p>
    <w:p w14:paraId="0790F9E7">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29.9.1 商品包装环保要求：应当按《关于印发〈商品包装政府采购需求标准（试行）〉、〈快递包装政府采购需求标准（试行）〉的通知》（财办库〔2020〕123号）文件执行。</w:t>
      </w:r>
    </w:p>
    <w:p w14:paraId="3571FD2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（1）商品包装层数不得超过3层，空隙率不大于40%；</w:t>
      </w:r>
    </w:p>
    <w:p w14:paraId="76ADCC21">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（2）商品包装尽可能使用单一材质的包装材料，如因功能需求必需使用不同材质，不同材质间应便于分离；</w:t>
      </w:r>
    </w:p>
    <w:p w14:paraId="66A0176B">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（3）商品包装中铅、汞、镉、六价铬的总含量应不大于100mg/kg；</w:t>
      </w:r>
    </w:p>
    <w:p w14:paraId="21E29A8A">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（4）商品包装印刷使用的油墨中挥发性有机化合物(VOCs)含量应不大于 5%（以重量计）；</w:t>
      </w:r>
    </w:p>
    <w:p w14:paraId="72E8E58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（5）塑料材质商品包装上呈现的印刷颜色不得超过 6 色；</w:t>
      </w:r>
    </w:p>
    <w:p w14:paraId="4112562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（6）纸质商品包装应使用 75%以上的可再生纤维原料生产；</w:t>
      </w:r>
    </w:p>
    <w:p w14:paraId="60F3838F">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（7）木质商品包装的原料应来源于可持续性森林。</w:t>
      </w:r>
    </w:p>
    <w:p w14:paraId="3965E1E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29.9.2 快递包装环保要求：</w:t>
      </w:r>
    </w:p>
    <w:p w14:paraId="3FF347F6">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（1）快递包装中重金属（铅、汞、镉、六价铬）总量应不大于 100mg/kg；</w:t>
      </w:r>
    </w:p>
    <w:p w14:paraId="2097026D">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（2）快递包装印刷使用的油墨中不应添加邻苯二甲酸酯，其挥发性有机化合物(VOCs)含量应不大于5%（以重量计）；</w:t>
      </w:r>
    </w:p>
    <w:p w14:paraId="628F8A7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（3）快递包装中使用纸基材的包装材料，纸基材中的有机氯的含量应不大于 150 mg/kg；</w:t>
      </w:r>
    </w:p>
    <w:p w14:paraId="708936F7">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789A77C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（5）快递中使用的塑料包装袋不得使用聚氯乙烯作为原料，且原料应为单一材质制成，生物分解率大于60%；</w:t>
      </w:r>
    </w:p>
    <w:p w14:paraId="7B3A1435">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（6）快递中使用的充气类填充物不得使用聚氯乙烯作为 原料，且原料为单一材质制成，生物分解率大于60%；</w:t>
      </w:r>
    </w:p>
    <w:p w14:paraId="1CD6B7D7">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（7）快递中使用的集装袋应为单一材质制成，其重复使用次数应不小于 80 次；</w:t>
      </w:r>
    </w:p>
    <w:p w14:paraId="0227D71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（8）快递中应使用幅宽不大于45mm 的生物降解胶带；</w:t>
      </w:r>
    </w:p>
    <w:p w14:paraId="2AFDA72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（9）快递包装中不得使用溶剂型胶粘剂；</w:t>
      </w:r>
    </w:p>
    <w:p w14:paraId="64D2F53D">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（11）快递应使用电子面单；</w:t>
      </w:r>
    </w:p>
    <w:p w14:paraId="7E59F5C4">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（12）直接使用商品包装作为快递包装的商品，其商品包装满足《商品包装政府采购需求标准（试行）》即可；</w:t>
      </w:r>
    </w:p>
    <w:p w14:paraId="5D8EBCF3">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（13）快递包装产品质量和封装方式应符合相关国家或行业标准技术指标要求。</w:t>
      </w:r>
    </w:p>
    <w:p w14:paraId="1DA693E9">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29.10 绿色低碳管理目标和服务要求：在物业、合同能源管理等服务类采购项目需求中，要强化绿色低碳管理目标和服务要求，促进绿色产品和服务推广应用。</w:t>
      </w:r>
    </w:p>
    <w:p w14:paraId="45CF6E90">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29.11低挥发性有机化合物产品：</w:t>
      </w:r>
      <w:r>
        <w:rPr>
          <w:rFonts w:hint="eastAsia" w:ascii="宋体" w:hAnsi="宋体" w:cs="宋体"/>
          <w:color w:val="auto"/>
          <w:sz w:val="24"/>
          <w:highlight w:val="none"/>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予以评审优惠。</w:t>
      </w:r>
      <w:r>
        <w:rPr>
          <w:rFonts w:hint="eastAsia" w:ascii="宋体" w:hAnsi="宋体" w:cs="宋体"/>
          <w:color w:val="auto"/>
          <w:sz w:val="24"/>
          <w:highlight w:val="none"/>
          <w:lang w:val="zh-CN"/>
        </w:rPr>
        <w:t>在通用类货物、家具、印刷、公务车辆维修等采购项目中，供应商</w:t>
      </w:r>
      <w:r>
        <w:rPr>
          <w:rFonts w:hint="eastAsia" w:ascii="宋体" w:hAnsi="宋体" w:cs="宋体"/>
          <w:color w:val="auto"/>
          <w:sz w:val="24"/>
          <w:highlight w:val="none"/>
        </w:rPr>
        <w:t>应</w:t>
      </w:r>
      <w:r>
        <w:rPr>
          <w:rFonts w:hint="eastAsia" w:ascii="宋体" w:hAnsi="宋体" w:cs="宋体"/>
          <w:color w:val="auto"/>
          <w:sz w:val="24"/>
          <w:highlight w:val="none"/>
          <w:lang w:val="zh-CN"/>
        </w:rPr>
        <w:t>优先使用低挥发性原辅材料</w:t>
      </w:r>
      <w:r>
        <w:rPr>
          <w:rFonts w:hint="eastAsia" w:ascii="宋体" w:hAnsi="宋体" w:cs="宋体"/>
          <w:color w:val="auto"/>
          <w:sz w:val="24"/>
          <w:highlight w:val="none"/>
        </w:rPr>
        <w:t>，将使用低</w:t>
      </w:r>
      <w:r>
        <w:rPr>
          <w:rFonts w:hint="eastAsia" w:ascii="宋体" w:hAnsi="宋体" w:cs="宋体"/>
          <w:color w:val="auto"/>
          <w:sz w:val="24"/>
          <w:highlight w:val="none"/>
          <w:lang w:val="zh-CN"/>
        </w:rPr>
        <w:t>VOCs含量的</w:t>
      </w:r>
      <w:r>
        <w:rPr>
          <w:rFonts w:hint="eastAsia" w:ascii="宋体" w:hAnsi="宋体" w:cs="宋体"/>
          <w:color w:val="auto"/>
          <w:sz w:val="24"/>
          <w:highlight w:val="none"/>
        </w:rPr>
        <w:t>涂料、</w:t>
      </w:r>
      <w:r>
        <w:rPr>
          <w:rFonts w:hint="eastAsia" w:ascii="宋体" w:hAnsi="宋体" w:cs="宋体"/>
          <w:color w:val="auto"/>
          <w:sz w:val="24"/>
          <w:highlight w:val="none"/>
          <w:lang w:val="zh-CN"/>
        </w:rPr>
        <w:t>胶黏剂</w:t>
      </w:r>
      <w:r>
        <w:rPr>
          <w:rFonts w:hint="eastAsia" w:ascii="宋体" w:hAnsi="宋体" w:cs="宋体"/>
          <w:color w:val="auto"/>
          <w:sz w:val="24"/>
          <w:highlight w:val="none"/>
        </w:rPr>
        <w:t>等纳入合同条款。</w:t>
      </w:r>
    </w:p>
    <w:p w14:paraId="2F949961">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29.12落实政府采购《绿色建筑和绿色建材政府采购需求标准》（财库〔2022〕35号文）和《政府采购支持绿色建材促进建筑品质提升政策项目实施指南》（财办库〔2023〕52号）文件标准。</w:t>
      </w:r>
    </w:p>
    <w:p w14:paraId="6FB4FE2D">
      <w:pPr>
        <w:keepNext w:val="0"/>
        <w:keepLines w:val="0"/>
        <w:pageBreakBefore w:val="0"/>
        <w:shd w:val="clear" w:color="auto" w:fill="auto"/>
        <w:spacing w:line="440" w:lineRule="exact"/>
        <w:ind w:firstLine="480"/>
        <w:rPr>
          <w:rFonts w:ascii="宋体" w:hAnsi="宋体" w:cs="宋体"/>
          <w:color w:val="auto"/>
          <w:sz w:val="24"/>
          <w:highlight w:val="none"/>
        </w:rPr>
      </w:pPr>
      <w:r>
        <w:rPr>
          <w:rFonts w:hint="eastAsia" w:ascii="宋体" w:hAnsi="宋体" w:cs="宋体"/>
          <w:color w:val="auto"/>
          <w:sz w:val="24"/>
          <w:highlight w:val="none"/>
        </w:rPr>
        <w:t>29.13脱贫攻坚支持政策根据《关于运用政府采购政策支持脱贫攻坚的通知》（财库〔2019〕27 号），鼓励采用优先采购、预留采购份额方式采购贫困地区农副产品；鼓励优先采购聘用建档立卡贫困人员物业公司提供的物业服务。</w:t>
      </w:r>
    </w:p>
    <w:p w14:paraId="78E65B31">
      <w:pPr>
        <w:shd w:val="clear" w:color="auto" w:fill="auto"/>
        <w:spacing w:line="500" w:lineRule="exact"/>
        <w:ind w:firstLine="480"/>
        <w:rPr>
          <w:rFonts w:hint="eastAsia" w:ascii="宋体" w:hAnsi="宋体" w:cs="宋体"/>
          <w:color w:val="auto"/>
          <w:sz w:val="24"/>
          <w:highlight w:val="none"/>
        </w:rPr>
      </w:pPr>
      <w:bookmarkStart w:id="46" w:name="_Toc81493168"/>
      <w:bookmarkStart w:id="47" w:name="_Toc9744"/>
      <w:bookmarkStart w:id="48" w:name="_Toc514054478"/>
      <w:r>
        <w:rPr>
          <w:rFonts w:hint="eastAsia" w:ascii="宋体" w:hAnsi="宋体" w:cs="宋体"/>
          <w:color w:val="auto"/>
          <w:sz w:val="24"/>
          <w:highlight w:val="none"/>
          <w:lang w:val="en-US" w:eastAsia="zh-CN"/>
        </w:rPr>
        <w:t>29.14政府采购创新产品</w:t>
      </w:r>
    </w:p>
    <w:p w14:paraId="06510C70">
      <w:pPr>
        <w:shd w:val="clear" w:color="auto" w:fill="auto"/>
        <w:spacing w:line="500" w:lineRule="exact"/>
        <w:ind w:firstLine="480"/>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采购人优先采购各级政府部门公开发布的有效期内的创新产品、创新服务、首台套、首购首用等《目录》的创新产品</w:t>
      </w:r>
    </w:p>
    <w:p w14:paraId="2FB26210">
      <w:pPr>
        <w:shd w:val="clear" w:color="auto" w:fill="auto"/>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29.15未按要求提供相关材料的，不享受相关政策</w:t>
      </w:r>
    </w:p>
    <w:p w14:paraId="123FD855">
      <w:pPr>
        <w:pStyle w:val="588"/>
        <w:keepNext w:val="0"/>
        <w:keepLines w:val="0"/>
        <w:pageBreakBefore w:val="0"/>
        <w:shd w:val="clear" w:color="auto" w:fill="auto"/>
        <w:spacing w:line="440" w:lineRule="exact"/>
        <w:outlineLvl w:val="1"/>
        <w:rPr>
          <w:rFonts w:hint="eastAsia" w:ascii="宋体" w:hAnsi="宋体" w:eastAsia="宋体" w:cs="宋体"/>
          <w:color w:val="auto"/>
          <w:highlight w:val="none"/>
        </w:rPr>
      </w:pPr>
      <w:r>
        <w:rPr>
          <w:rFonts w:hint="eastAsia" w:ascii="宋体" w:hAnsi="宋体" w:eastAsia="宋体" w:cs="宋体"/>
          <w:color w:val="auto"/>
          <w:highlight w:val="none"/>
        </w:rPr>
        <w:t>七、中标及合同签订</w:t>
      </w:r>
      <w:bookmarkEnd w:id="46"/>
      <w:bookmarkEnd w:id="47"/>
      <w:bookmarkEnd w:id="48"/>
    </w:p>
    <w:p w14:paraId="5F64AD43">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30、标后审查</w:t>
      </w:r>
    </w:p>
    <w:p w14:paraId="4B00B67A">
      <w:pPr>
        <w:keepNext w:val="0"/>
        <w:keepLines w:val="0"/>
        <w:pageBreakBefore w:val="0"/>
        <w:shd w:val="clear" w:color="auto" w:fill="auto"/>
        <w:spacing w:line="440" w:lineRule="exact"/>
        <w:ind w:firstLine="480"/>
        <w:rPr>
          <w:rFonts w:hint="eastAsia" w:ascii="宋体" w:hAnsi="宋体" w:cs="宋体"/>
          <w:color w:val="auto"/>
          <w:sz w:val="24"/>
          <w:highlight w:val="none"/>
        </w:rPr>
      </w:pPr>
      <w:bookmarkStart w:id="49" w:name="EB17cdacdfdd1244abbb73389fe0bfffe7"/>
      <w:r>
        <w:rPr>
          <w:rFonts w:hint="eastAsia" w:ascii="宋体" w:hAnsi="宋体" w:cs="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56EA16E8">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9"/>
    </w:p>
    <w:p w14:paraId="3BF6C670">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31、确定中标人</w:t>
      </w:r>
    </w:p>
    <w:p w14:paraId="5FD0E522">
      <w:pPr>
        <w:keepNext w:val="0"/>
        <w:keepLines w:val="0"/>
        <w:pageBreakBefore w:val="0"/>
        <w:shd w:val="clear" w:color="auto" w:fill="auto"/>
        <w:spacing w:line="440" w:lineRule="exact"/>
        <w:ind w:firstLine="480"/>
        <w:rPr>
          <w:rFonts w:ascii="宋体" w:hAnsi="宋体" w:cs="宋体"/>
          <w:color w:val="auto"/>
          <w:sz w:val="24"/>
          <w:highlight w:val="none"/>
        </w:rPr>
      </w:pPr>
      <w:r>
        <w:rPr>
          <w:rFonts w:hint="eastAsia" w:ascii="宋体" w:hAnsi="宋体" w:cs="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461DB828">
      <w:pPr>
        <w:keepNext w:val="0"/>
        <w:keepLines w:val="0"/>
        <w:pageBreakBefore w:val="0"/>
        <w:shd w:val="clear" w:color="auto" w:fill="auto"/>
        <w:spacing w:line="440" w:lineRule="exact"/>
        <w:ind w:firstLine="480"/>
        <w:rPr>
          <w:rFonts w:ascii="宋体" w:hAnsi="宋体" w:cs="宋体"/>
          <w:color w:val="auto"/>
          <w:sz w:val="24"/>
          <w:highlight w:val="none"/>
        </w:rPr>
      </w:pPr>
      <w:r>
        <w:rPr>
          <w:rFonts w:hint="eastAsia" w:ascii="宋体" w:hAnsi="宋体" w:cs="宋体"/>
          <w:color w:val="auto"/>
          <w:sz w:val="24"/>
          <w:highlight w:val="none"/>
        </w:rPr>
        <w:t>31.2 在中标结果公告届满之前，中标人被列为失信被执行人的，取消其中标资格，并重新确定中标人。</w:t>
      </w:r>
    </w:p>
    <w:p w14:paraId="096C40D9">
      <w:pPr>
        <w:keepNext w:val="0"/>
        <w:keepLines w:val="0"/>
        <w:pageBreakBefore w:val="0"/>
        <w:shd w:val="clear" w:color="auto" w:fill="auto"/>
        <w:spacing w:line="440" w:lineRule="exact"/>
        <w:ind w:firstLine="480"/>
        <w:rPr>
          <w:rFonts w:ascii="宋体" w:hAnsi="宋体" w:cs="宋体"/>
          <w:color w:val="auto"/>
          <w:sz w:val="24"/>
          <w:highlight w:val="none"/>
        </w:rPr>
      </w:pPr>
      <w:r>
        <w:rPr>
          <w:rFonts w:hint="eastAsia" w:ascii="宋体" w:hAnsi="宋体" w:cs="宋体"/>
          <w:color w:val="auto"/>
          <w:sz w:val="24"/>
          <w:highlight w:val="none"/>
        </w:rPr>
        <w:t>31.3采购人不得通过对样品进行检测、对供应商进行考察等方式改变评审结果。</w:t>
      </w:r>
    </w:p>
    <w:p w14:paraId="3CA90B17">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035B8E86">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32、中标通知书</w:t>
      </w:r>
    </w:p>
    <w:p w14:paraId="696B0FE6">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32.1中标结果在财政部门指定信息媒体上发布公告，招标代理机构将向中标人发出中标通知书。</w:t>
      </w:r>
    </w:p>
    <w:p w14:paraId="39224285">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32.2中标人应及时到招标代理机构领取中标通知书，中标通知书是签订合同的依据和组成部分。</w:t>
      </w:r>
    </w:p>
    <w:p w14:paraId="58F8098B">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33、签订合同</w:t>
      </w:r>
    </w:p>
    <w:p w14:paraId="795BE065">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33.1采购单位与中标供应商应当在《中标通知书》发出之日起三十日内，按采购文件确定的事情签订政府采购合同，合同在签订之日2个工作日内在盐城市政府采购网http://czj.yancheng.gov.cn/col/col2383/index.html上公示。</w:t>
      </w:r>
    </w:p>
    <w:p w14:paraId="09E9F03E">
      <w:pPr>
        <w:keepNext w:val="0"/>
        <w:keepLines w:val="0"/>
        <w:pageBreakBefore w:val="0"/>
        <w:shd w:val="clear" w:color="auto" w:fill="auto"/>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33.2中标人无正当理由未在规定时间内</w:t>
      </w:r>
      <w:r>
        <w:rPr>
          <w:rFonts w:hint="eastAsia" w:ascii="宋体" w:hAnsi="宋体" w:cs="宋体"/>
          <w:color w:val="auto"/>
          <w:sz w:val="24"/>
          <w:highlight w:val="none"/>
          <w:lang w:eastAsia="zh-CN"/>
        </w:rPr>
        <w:t>（《中标通知书》发出之日起三十日内）</w:t>
      </w:r>
      <w:r>
        <w:rPr>
          <w:rFonts w:hint="eastAsia" w:ascii="宋体" w:hAnsi="宋体" w:cs="宋体"/>
          <w:color w:val="auto"/>
          <w:sz w:val="24"/>
          <w:highlight w:val="none"/>
        </w:rPr>
        <w:t>与采购人签订合同的，采购人有权取消其中标资格，监管部门将对其依法处理。</w:t>
      </w:r>
    </w:p>
    <w:p w14:paraId="2C2E023E">
      <w:pPr>
        <w:keepNext w:val="0"/>
        <w:keepLines w:val="0"/>
        <w:pageBreakBefore w:val="0"/>
        <w:spacing w:line="440" w:lineRule="exact"/>
        <w:ind w:firstLine="480"/>
        <w:rPr>
          <w:rFonts w:hint="eastAsia" w:ascii="宋体" w:hAnsi="宋体"/>
          <w:color w:val="auto"/>
          <w:sz w:val="24"/>
          <w:szCs w:val="24"/>
          <w:highlight w:val="none"/>
          <w:shd w:val="clear" w:color="auto" w:fill="auto"/>
        </w:rPr>
      </w:pPr>
      <w:r>
        <w:rPr>
          <w:rFonts w:hint="eastAsia" w:ascii="宋体" w:hAnsi="宋体" w:cs="宋体"/>
          <w:color w:val="auto"/>
          <w:sz w:val="24"/>
          <w:highlight w:val="none"/>
        </w:rPr>
        <w:t>33.</w:t>
      </w:r>
      <w:r>
        <w:rPr>
          <w:rFonts w:hint="eastAsia" w:ascii="宋体" w:hAnsi="宋体" w:cs="宋体"/>
          <w:color w:val="auto"/>
          <w:sz w:val="24"/>
          <w:highlight w:val="none"/>
          <w:lang w:val="en-US" w:eastAsia="zh-CN"/>
        </w:rPr>
        <w:t>3</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招标文件、中标供应商的投标文件及招标过程中有关澄清、承诺文件均应作为合同附件。</w:t>
      </w:r>
    </w:p>
    <w:p w14:paraId="718E7114">
      <w:pPr>
        <w:keepNext w:val="0"/>
        <w:keepLines w:val="0"/>
        <w:pageBreakBefore w:val="0"/>
        <w:spacing w:line="440" w:lineRule="exact"/>
        <w:ind w:firstLine="480"/>
        <w:rPr>
          <w:rFonts w:hint="eastAsia" w:ascii="宋体" w:hAnsi="宋体"/>
          <w:b w:val="0"/>
          <w:bCs w:val="0"/>
          <w:color w:val="auto"/>
          <w:sz w:val="24"/>
          <w:szCs w:val="24"/>
          <w:highlight w:val="none"/>
          <w:shd w:val="clear" w:color="auto" w:fill="auto"/>
        </w:rPr>
      </w:pPr>
      <w:r>
        <w:rPr>
          <w:rFonts w:hint="eastAsia" w:ascii="宋体" w:hAnsi="宋体" w:cs="宋体"/>
          <w:color w:val="auto"/>
          <w:sz w:val="24"/>
          <w:highlight w:val="none"/>
        </w:rPr>
        <w:t>33.</w:t>
      </w:r>
      <w:r>
        <w:rPr>
          <w:rFonts w:hint="eastAsia" w:ascii="宋体" w:hAnsi="宋体" w:cs="宋体"/>
          <w:color w:val="auto"/>
          <w:sz w:val="24"/>
          <w:highlight w:val="none"/>
          <w:lang w:val="en-US" w:eastAsia="zh-CN"/>
        </w:rPr>
        <w:t>4</w:t>
      </w:r>
      <w:r>
        <w:rPr>
          <w:rFonts w:hint="eastAsia" w:ascii="宋体" w:hAnsi="宋体"/>
          <w:color w:val="auto"/>
          <w:sz w:val="24"/>
          <w:szCs w:val="24"/>
          <w:highlight w:val="none"/>
          <w:shd w:val="clear" w:color="auto" w:fill="auto"/>
        </w:rPr>
        <w:t xml:space="preserve"> 签订合同后，中标供应商不得将货物及其他相关服务进行转包。未经采购人同意，中标供应商也不得采用分包的形式履行合同，否则采购人有权终止合同，中标供应商的履约保证金将</w:t>
      </w:r>
      <w:r>
        <w:rPr>
          <w:rFonts w:hint="eastAsia" w:ascii="宋体" w:hAnsi="宋体"/>
          <w:b w:val="0"/>
          <w:bCs w:val="0"/>
          <w:color w:val="auto"/>
          <w:sz w:val="24"/>
          <w:szCs w:val="24"/>
          <w:highlight w:val="none"/>
          <w:shd w:val="clear" w:color="auto" w:fill="auto"/>
        </w:rPr>
        <w:t>不予退还。转包或分包造成采购人损失的，中标供应商应承担相应赔偿责任。</w:t>
      </w:r>
    </w:p>
    <w:p w14:paraId="5FB0E7EE">
      <w:pPr>
        <w:keepNext w:val="0"/>
        <w:keepLines w:val="0"/>
        <w:pageBreakBefore w:val="0"/>
        <w:spacing w:line="440" w:lineRule="exact"/>
        <w:ind w:firstLine="480"/>
        <w:rPr>
          <w:rFonts w:hint="eastAsia" w:ascii="宋体" w:hAnsi="宋体" w:cs="宋体"/>
          <w:color w:val="auto"/>
          <w:sz w:val="24"/>
          <w:highlight w:val="none"/>
        </w:rPr>
      </w:pPr>
      <w:r>
        <w:rPr>
          <w:rFonts w:hint="eastAsia" w:ascii="宋体" w:hAnsi="宋体" w:eastAsia="宋体" w:cs="Times New Roman"/>
          <w:color w:val="auto"/>
          <w:sz w:val="24"/>
          <w:szCs w:val="24"/>
          <w:highlight w:val="none"/>
          <w:shd w:val="clear" w:color="auto" w:fill="auto"/>
        </w:rPr>
        <w:t>33.</w:t>
      </w:r>
      <w:r>
        <w:rPr>
          <w:rFonts w:hint="eastAsia" w:ascii="宋体" w:hAnsi="宋体" w:eastAsia="宋体" w:cs="Times New Roman"/>
          <w:color w:val="auto"/>
          <w:sz w:val="24"/>
          <w:szCs w:val="24"/>
          <w:highlight w:val="none"/>
          <w:shd w:val="clear" w:color="auto" w:fill="auto"/>
          <w:lang w:val="en-US" w:eastAsia="zh-CN"/>
        </w:rPr>
        <w:t>5</w:t>
      </w:r>
      <w:r>
        <w:rPr>
          <w:rFonts w:hint="eastAsia" w:ascii="宋体" w:hAnsi="宋体" w:eastAsia="宋体" w:cs="Times New Roman"/>
          <w:color w:val="auto"/>
          <w:sz w:val="24"/>
          <w:szCs w:val="24"/>
          <w:highlight w:val="none"/>
          <w:shd w:val="clear" w:color="auto" w:fill="auto"/>
        </w:rPr>
        <w:t>中标或者成交后无正当理由拒不与采购人签订政府采购合同的，将被列入不良行为记录名单，在一至</w:t>
      </w:r>
      <w:r>
        <w:rPr>
          <w:rFonts w:hint="eastAsia" w:ascii="宋体" w:hAnsi="宋体" w:eastAsia="宋体" w:cs="Times New Roman"/>
          <w:color w:val="auto"/>
          <w:sz w:val="24"/>
          <w:szCs w:val="24"/>
          <w:highlight w:val="none"/>
          <w:shd w:val="clear" w:color="auto" w:fill="auto"/>
          <w:lang w:val="en-US" w:eastAsia="zh-CN"/>
        </w:rPr>
        <w:t>三</w:t>
      </w:r>
      <w:r>
        <w:rPr>
          <w:rFonts w:hint="eastAsia" w:ascii="宋体" w:hAnsi="宋体" w:eastAsia="宋体" w:cs="Times New Roman"/>
          <w:color w:val="auto"/>
          <w:sz w:val="24"/>
          <w:szCs w:val="24"/>
          <w:highlight w:val="none"/>
          <w:shd w:val="clear" w:color="auto" w:fill="auto"/>
        </w:rPr>
        <w:t>年内禁止参加政府采购活动。</w:t>
      </w:r>
    </w:p>
    <w:p w14:paraId="26CBD60E">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34、履约保证金</w:t>
      </w:r>
    </w:p>
    <w:p w14:paraId="2F7CC9A8">
      <w:pPr>
        <w:keepNext w:val="0"/>
        <w:keepLines w:val="0"/>
        <w:pageBreakBefore w:val="0"/>
        <w:tabs>
          <w:tab w:val="left" w:pos="900"/>
        </w:tabs>
        <w:spacing w:after="145" w:line="440" w:lineRule="exact"/>
        <w:ind w:firstLine="480"/>
        <w:rPr>
          <w:rFonts w:hint="eastAsia" w:ascii="宋体" w:hAnsi="宋体"/>
          <w:color w:val="auto"/>
          <w:sz w:val="24"/>
          <w:highlight w:val="none"/>
          <w:shd w:val="clear" w:color="auto" w:fill="auto"/>
        </w:rPr>
      </w:pPr>
      <w:bookmarkStart w:id="50" w:name="_Toc81493169"/>
      <w:bookmarkStart w:id="51" w:name="_Toc25599"/>
      <w:bookmarkStart w:id="52" w:name="_Toc514054479"/>
      <w:r>
        <w:rPr>
          <w:rFonts w:hint="eastAsia" w:ascii="宋体" w:hAnsi="宋体"/>
          <w:color w:val="auto"/>
          <w:sz w:val="24"/>
          <w:highlight w:val="none"/>
          <w:shd w:val="clear" w:color="auto" w:fill="auto"/>
        </w:rPr>
        <w:t>3</w:t>
      </w:r>
      <w:r>
        <w:rPr>
          <w:rFonts w:hint="eastAsia" w:ascii="宋体" w:hAnsi="宋体"/>
          <w:color w:val="auto"/>
          <w:sz w:val="24"/>
          <w:highlight w:val="none"/>
          <w:shd w:val="clear" w:color="auto" w:fill="auto"/>
          <w:lang w:val="en-US" w:eastAsia="zh-CN"/>
        </w:rPr>
        <w:t>4</w:t>
      </w:r>
      <w:r>
        <w:rPr>
          <w:rFonts w:hint="eastAsia" w:ascii="宋体" w:hAnsi="宋体"/>
          <w:color w:val="auto"/>
          <w:sz w:val="24"/>
          <w:highlight w:val="none"/>
          <w:shd w:val="clear" w:color="auto" w:fill="auto"/>
        </w:rPr>
        <w:t>.1中标供应商</w:t>
      </w:r>
      <w:r>
        <w:rPr>
          <w:rFonts w:hint="eastAsia" w:ascii="宋体" w:hAnsi="宋体"/>
          <w:color w:val="auto"/>
          <w:sz w:val="24"/>
          <w:highlight w:val="none"/>
          <w:shd w:val="clear" w:color="auto" w:fill="auto"/>
          <w:lang w:val="en-US" w:eastAsia="zh-CN"/>
        </w:rPr>
        <w:t>在领取中标通知书后15日内</w:t>
      </w:r>
      <w:r>
        <w:rPr>
          <w:rFonts w:hint="eastAsia" w:ascii="宋体" w:hAnsi="宋体"/>
          <w:color w:val="auto"/>
          <w:sz w:val="24"/>
          <w:highlight w:val="none"/>
          <w:shd w:val="clear" w:color="auto" w:fill="auto"/>
        </w:rPr>
        <w:t>，须向采购人交纳履约保证金（履约保证金的数额为合同金额的</w:t>
      </w:r>
      <w:r>
        <w:rPr>
          <w:rFonts w:hint="eastAsia" w:ascii="宋体" w:hAnsi="宋体"/>
          <w:color w:val="auto"/>
          <w:sz w:val="24"/>
          <w:highlight w:val="none"/>
          <w:shd w:val="clear" w:color="auto" w:fill="auto"/>
          <w:lang w:val="en-US" w:eastAsia="zh-CN"/>
        </w:rPr>
        <w:t>10</w:t>
      </w:r>
      <w:r>
        <w:rPr>
          <w:rFonts w:hint="eastAsia" w:ascii="宋体" w:hAnsi="宋体"/>
          <w:color w:val="auto"/>
          <w:sz w:val="24"/>
          <w:highlight w:val="none"/>
          <w:shd w:val="clear" w:color="auto" w:fill="auto"/>
        </w:rPr>
        <w:t>%，以支票、汇票、本票或者</w:t>
      </w:r>
      <w:r>
        <w:rPr>
          <w:rFonts w:hint="eastAsia" w:ascii="宋体" w:hAnsi="宋体"/>
          <w:color w:val="auto"/>
          <w:sz w:val="24"/>
          <w:highlight w:val="none"/>
          <w:shd w:val="clear" w:color="auto" w:fill="auto"/>
          <w:lang w:val="en-US" w:eastAsia="zh-CN"/>
        </w:rPr>
        <w:t>银行</w:t>
      </w:r>
      <w:r>
        <w:rPr>
          <w:rFonts w:hint="eastAsia" w:ascii="宋体" w:hAnsi="宋体"/>
          <w:color w:val="auto"/>
          <w:sz w:val="24"/>
          <w:highlight w:val="none"/>
          <w:shd w:val="clear" w:color="auto" w:fill="auto"/>
        </w:rPr>
        <w:t>保函形式提交）</w:t>
      </w:r>
      <w:r>
        <w:rPr>
          <w:rFonts w:hint="eastAsia" w:ascii="宋体" w:hAnsi="宋体"/>
          <w:color w:val="auto"/>
          <w:sz w:val="24"/>
          <w:highlight w:val="none"/>
          <w:shd w:val="clear" w:color="auto" w:fill="auto"/>
          <w:lang w:eastAsia="zh-CN"/>
        </w:rPr>
        <w:t>，</w:t>
      </w:r>
      <w:r>
        <w:rPr>
          <w:rFonts w:hint="eastAsia" w:ascii="宋体" w:hAnsi="宋体"/>
          <w:color w:val="auto"/>
          <w:sz w:val="24"/>
          <w:highlight w:val="none"/>
          <w:shd w:val="clear" w:color="auto" w:fill="auto"/>
          <w:lang w:val="en-US" w:eastAsia="zh-CN"/>
        </w:rPr>
        <w:t>履约保证金必须交至采购人指定账户。保函必须是无条件即索即兑的银行保函，保函有效期为签订合同后6个月，保函开具行必须为采购人指定行，且须完全符合采购人要求。如中标人在收到中标通知书后10日内未按上述要求交付履约保证金，采购人有权单方取消中标人中标资格。</w:t>
      </w:r>
    </w:p>
    <w:p w14:paraId="468C2BF3">
      <w:pPr>
        <w:keepNext w:val="0"/>
        <w:keepLines w:val="0"/>
        <w:pageBreakBefore w:val="0"/>
        <w:tabs>
          <w:tab w:val="left" w:pos="900"/>
        </w:tabs>
        <w:spacing w:after="145" w:line="440" w:lineRule="exact"/>
        <w:ind w:firstLine="48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3</w:t>
      </w:r>
      <w:r>
        <w:rPr>
          <w:rFonts w:hint="eastAsia" w:ascii="宋体" w:hAnsi="宋体"/>
          <w:color w:val="auto"/>
          <w:sz w:val="24"/>
          <w:highlight w:val="none"/>
          <w:shd w:val="clear" w:color="auto" w:fill="auto"/>
          <w:lang w:val="en-US" w:eastAsia="zh-CN"/>
        </w:rPr>
        <w:t>4</w:t>
      </w:r>
      <w:r>
        <w:rPr>
          <w:rFonts w:hint="eastAsia" w:ascii="宋体" w:hAnsi="宋体"/>
          <w:color w:val="auto"/>
          <w:sz w:val="24"/>
          <w:highlight w:val="none"/>
          <w:shd w:val="clear" w:color="auto" w:fill="auto"/>
        </w:rPr>
        <w:t>.2中标供应商</w:t>
      </w:r>
      <w:r>
        <w:rPr>
          <w:rFonts w:hint="eastAsia" w:ascii="宋体" w:hAnsi="宋体"/>
          <w:color w:val="auto"/>
          <w:sz w:val="24"/>
          <w:highlight w:val="none"/>
          <w:shd w:val="clear" w:color="auto" w:fill="auto"/>
          <w:lang w:val="zh-CN"/>
        </w:rPr>
        <w:t>若在签订采购合同</w:t>
      </w:r>
      <w:r>
        <w:rPr>
          <w:rFonts w:hint="eastAsia" w:ascii="宋体" w:hAnsi="宋体"/>
          <w:color w:val="auto"/>
          <w:sz w:val="24"/>
          <w:highlight w:val="none"/>
          <w:shd w:val="clear" w:color="auto" w:fill="auto"/>
        </w:rPr>
        <w:t>前</w:t>
      </w:r>
      <w:r>
        <w:rPr>
          <w:rFonts w:hint="eastAsia" w:ascii="宋体" w:hAnsi="宋体"/>
          <w:color w:val="auto"/>
          <w:sz w:val="24"/>
          <w:highlight w:val="none"/>
          <w:shd w:val="clear" w:color="auto" w:fill="auto"/>
          <w:lang w:val="zh-CN"/>
        </w:rPr>
        <w:t>向</w:t>
      </w:r>
      <w:r>
        <w:rPr>
          <w:rFonts w:hint="eastAsia" w:ascii="宋体" w:hAnsi="宋体"/>
          <w:color w:val="auto"/>
          <w:sz w:val="24"/>
          <w:highlight w:val="none"/>
          <w:shd w:val="clear" w:color="auto" w:fill="auto"/>
        </w:rPr>
        <w:t>采购</w:t>
      </w:r>
      <w:r>
        <w:rPr>
          <w:rFonts w:hint="eastAsia" w:ascii="宋体" w:hAnsi="宋体"/>
          <w:color w:val="auto"/>
          <w:sz w:val="24"/>
          <w:highlight w:val="none"/>
          <w:shd w:val="clear" w:color="auto" w:fill="auto"/>
          <w:lang w:val="zh-CN"/>
        </w:rPr>
        <w:t>人提交本单位有效期内的第三方信用报告，且信用评级在AA级及以上的，</w:t>
      </w:r>
      <w:r>
        <w:rPr>
          <w:rFonts w:hint="eastAsia" w:ascii="宋体" w:hAnsi="宋体"/>
          <w:color w:val="auto"/>
          <w:sz w:val="24"/>
          <w:highlight w:val="none"/>
          <w:shd w:val="clear" w:color="auto" w:fill="auto"/>
        </w:rPr>
        <w:t>中标供应商</w:t>
      </w:r>
      <w:r>
        <w:rPr>
          <w:rFonts w:hint="eastAsia" w:ascii="宋体" w:hAnsi="宋体"/>
          <w:color w:val="auto"/>
          <w:sz w:val="24"/>
          <w:highlight w:val="none"/>
          <w:shd w:val="clear" w:color="auto" w:fill="auto"/>
          <w:lang w:val="zh-CN"/>
        </w:rPr>
        <w:t>可享受政府采购供应商履约保证金减免政策（</w:t>
      </w:r>
      <w:r>
        <w:rPr>
          <w:rFonts w:hint="eastAsia" w:ascii="宋体" w:hAnsi="宋体"/>
          <w:color w:val="auto"/>
          <w:sz w:val="24"/>
          <w:highlight w:val="none"/>
          <w:shd w:val="clear" w:color="auto" w:fill="auto"/>
          <w:lang w:val="en-US" w:eastAsia="zh-CN"/>
        </w:rPr>
        <w:t>履约保证金的50%</w:t>
      </w:r>
      <w:r>
        <w:rPr>
          <w:rFonts w:hint="eastAsia" w:ascii="宋体" w:hAnsi="宋体"/>
          <w:color w:val="auto"/>
          <w:sz w:val="24"/>
          <w:highlight w:val="none"/>
          <w:shd w:val="clear" w:color="auto" w:fill="auto"/>
          <w:lang w:val="zh-CN"/>
        </w:rPr>
        <w:t>）（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p>
    <w:p w14:paraId="0C3E3D81">
      <w:pPr>
        <w:keepNext w:val="0"/>
        <w:keepLines w:val="0"/>
        <w:pageBreakBefore w:val="0"/>
        <w:tabs>
          <w:tab w:val="left" w:pos="900"/>
        </w:tabs>
        <w:spacing w:after="145" w:line="440" w:lineRule="exact"/>
        <w:ind w:firstLine="48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3</w:t>
      </w:r>
      <w:r>
        <w:rPr>
          <w:rFonts w:hint="eastAsia" w:ascii="宋体" w:hAnsi="宋体"/>
          <w:color w:val="auto"/>
          <w:sz w:val="24"/>
          <w:highlight w:val="none"/>
          <w:shd w:val="clear" w:color="auto" w:fill="auto"/>
          <w:lang w:val="en-US" w:eastAsia="zh-CN"/>
        </w:rPr>
        <w:t>4</w:t>
      </w:r>
      <w:r>
        <w:rPr>
          <w:rFonts w:hint="eastAsia" w:ascii="宋体" w:hAnsi="宋体"/>
          <w:color w:val="auto"/>
          <w:sz w:val="24"/>
          <w:highlight w:val="none"/>
          <w:shd w:val="clear" w:color="auto" w:fill="auto"/>
        </w:rPr>
        <w:t>.3</w:t>
      </w:r>
      <w:r>
        <w:rPr>
          <w:rFonts w:hint="eastAsia" w:ascii="宋体" w:hAnsi="宋体"/>
          <w:color w:val="auto"/>
          <w:sz w:val="24"/>
          <w:highlight w:val="none"/>
          <w:shd w:val="clear" w:color="auto" w:fill="auto"/>
          <w:lang w:val="zh-CN"/>
        </w:rPr>
        <w:t>履约保证金用以约束</w:t>
      </w:r>
      <w:r>
        <w:rPr>
          <w:rFonts w:hint="eastAsia" w:ascii="宋体" w:hAnsi="宋体"/>
          <w:color w:val="auto"/>
          <w:sz w:val="24"/>
          <w:highlight w:val="none"/>
          <w:shd w:val="clear" w:color="auto" w:fill="auto"/>
        </w:rPr>
        <w:t>中标</w:t>
      </w:r>
      <w:r>
        <w:rPr>
          <w:rFonts w:hint="eastAsia" w:ascii="宋体" w:hAnsi="宋体"/>
          <w:color w:val="auto"/>
          <w:sz w:val="24"/>
          <w:highlight w:val="none"/>
          <w:shd w:val="clear" w:color="auto" w:fill="auto"/>
          <w:lang w:val="zh-CN"/>
        </w:rPr>
        <w:t>供应商在合同履行中的行为，弥补合同执行中由于</w:t>
      </w:r>
      <w:r>
        <w:rPr>
          <w:rFonts w:hint="eastAsia" w:ascii="宋体" w:hAnsi="宋体"/>
          <w:color w:val="auto"/>
          <w:sz w:val="24"/>
          <w:highlight w:val="none"/>
          <w:shd w:val="clear" w:color="auto" w:fill="auto"/>
        </w:rPr>
        <w:t>中标供应商</w:t>
      </w:r>
      <w:r>
        <w:rPr>
          <w:rFonts w:hint="eastAsia" w:ascii="宋体" w:hAnsi="宋体"/>
          <w:color w:val="auto"/>
          <w:sz w:val="24"/>
          <w:highlight w:val="none"/>
          <w:shd w:val="clear" w:color="auto" w:fill="auto"/>
          <w:lang w:val="zh-CN"/>
        </w:rPr>
        <w:t>自身行为可能给采购人带来的各种损失。</w:t>
      </w:r>
      <w:r>
        <w:rPr>
          <w:rFonts w:hint="eastAsia" w:ascii="宋体" w:hAnsi="宋体"/>
          <w:color w:val="auto"/>
          <w:sz w:val="24"/>
          <w:highlight w:val="none"/>
          <w:shd w:val="clear" w:color="auto" w:fill="auto"/>
        </w:rPr>
        <w:t>中标</w:t>
      </w:r>
      <w:r>
        <w:rPr>
          <w:rFonts w:hint="eastAsia" w:ascii="宋体" w:hAnsi="宋体"/>
          <w:color w:val="auto"/>
          <w:sz w:val="24"/>
          <w:highlight w:val="none"/>
          <w:shd w:val="clear" w:color="auto" w:fill="auto"/>
          <w:lang w:val="zh-CN"/>
        </w:rPr>
        <w:t>供应商</w:t>
      </w:r>
      <w:r>
        <w:rPr>
          <w:rFonts w:hint="eastAsia" w:ascii="宋体" w:hAnsi="宋体"/>
          <w:color w:val="auto"/>
          <w:sz w:val="24"/>
          <w:highlight w:val="none"/>
          <w:shd w:val="clear" w:color="auto" w:fill="auto"/>
        </w:rPr>
        <w:t>履行合同</w:t>
      </w:r>
      <w:r>
        <w:rPr>
          <w:rFonts w:hint="eastAsia" w:ascii="宋体" w:hAnsi="宋体"/>
          <w:color w:val="auto"/>
          <w:sz w:val="24"/>
          <w:highlight w:val="none"/>
          <w:shd w:val="clear" w:color="auto" w:fill="auto"/>
          <w:lang w:val="zh-CN"/>
        </w:rPr>
        <w:t>违约时，采购人按合同约定扣除全部履约保证金。如违约给采购人造成的损失超过履约保证金的，还应当依法赔偿超过部分的损失。</w:t>
      </w:r>
    </w:p>
    <w:p w14:paraId="389CC60D">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r>
        <w:rPr>
          <w:rFonts w:hint="eastAsia" w:ascii="宋体" w:hAnsi="宋体" w:cs="宋体"/>
          <w:color w:val="auto"/>
          <w:sz w:val="24"/>
          <w:highlight w:val="none"/>
          <w:shd w:val="clear" w:color="auto" w:fill="auto"/>
          <w:lang w:val="en-US" w:eastAsia="zh-CN"/>
        </w:rPr>
        <w:t>4</w:t>
      </w:r>
      <w:r>
        <w:rPr>
          <w:rFonts w:hint="eastAsia" w:ascii="宋体" w:hAnsi="宋体" w:cs="宋体"/>
          <w:color w:val="auto"/>
          <w:sz w:val="24"/>
          <w:highlight w:val="none"/>
          <w:shd w:val="clear" w:color="auto" w:fill="auto"/>
        </w:rPr>
        <w:t>.4履约保证金的退还：</w:t>
      </w:r>
    </w:p>
    <w:p w14:paraId="419ECF61">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r>
        <w:rPr>
          <w:rFonts w:hint="eastAsia" w:ascii="宋体" w:hAnsi="宋体" w:cs="宋体"/>
          <w:color w:val="auto"/>
          <w:sz w:val="24"/>
          <w:highlight w:val="none"/>
          <w:shd w:val="clear" w:color="auto" w:fill="auto"/>
          <w:lang w:val="en-US" w:eastAsia="zh-CN"/>
        </w:rPr>
        <w:t>4</w:t>
      </w:r>
      <w:r>
        <w:rPr>
          <w:rFonts w:hint="eastAsia" w:ascii="宋体" w:hAnsi="宋体" w:cs="宋体"/>
          <w:color w:val="auto"/>
          <w:sz w:val="24"/>
          <w:highlight w:val="none"/>
          <w:shd w:val="clear" w:color="auto" w:fill="auto"/>
        </w:rPr>
        <w:t>.4.1</w:t>
      </w:r>
      <w:r>
        <w:rPr>
          <w:rFonts w:hint="eastAsia" w:ascii="宋体" w:hAnsi="宋体" w:cs="宋体"/>
          <w:color w:val="auto"/>
          <w:sz w:val="24"/>
          <w:highlight w:val="none"/>
          <w:shd w:val="clear" w:color="auto" w:fill="auto"/>
          <w:lang w:val="zh-CN"/>
        </w:rPr>
        <w:t>方式：退还至投标人缴纳履约保证金的账户。</w:t>
      </w:r>
      <w:r>
        <w:rPr>
          <w:rFonts w:hint="eastAsia" w:ascii="宋体" w:hAnsi="宋体" w:cs="宋体"/>
          <w:color w:val="auto"/>
          <w:sz w:val="24"/>
          <w:highlight w:val="none"/>
          <w:shd w:val="clear" w:color="auto" w:fill="auto"/>
        </w:rPr>
        <w:t>如为</w:t>
      </w:r>
      <w:r>
        <w:rPr>
          <w:rFonts w:hint="eastAsia" w:ascii="宋体" w:hAnsi="宋体" w:cs="宋体"/>
          <w:color w:val="auto"/>
          <w:sz w:val="24"/>
          <w:highlight w:val="none"/>
          <w:shd w:val="clear" w:color="auto" w:fill="auto"/>
          <w:lang w:val="zh-CN"/>
        </w:rPr>
        <w:t>保函，在到期</w:t>
      </w:r>
      <w:r>
        <w:rPr>
          <w:rFonts w:hint="eastAsia" w:ascii="宋体" w:hAnsi="宋体" w:cs="宋体"/>
          <w:color w:val="auto"/>
          <w:sz w:val="24"/>
          <w:highlight w:val="none"/>
          <w:shd w:val="clear" w:color="auto" w:fill="auto"/>
        </w:rPr>
        <w:t>时</w:t>
      </w:r>
      <w:r>
        <w:rPr>
          <w:rFonts w:hint="eastAsia" w:ascii="宋体" w:hAnsi="宋体" w:cs="宋体"/>
          <w:color w:val="auto"/>
          <w:sz w:val="24"/>
          <w:highlight w:val="none"/>
          <w:shd w:val="clear" w:color="auto" w:fill="auto"/>
          <w:lang w:val="zh-CN"/>
        </w:rPr>
        <w:t>自行失效。</w:t>
      </w:r>
    </w:p>
    <w:p w14:paraId="01D7BDEC">
      <w:pPr>
        <w:keepNext w:val="0"/>
        <w:keepLines w:val="0"/>
        <w:pageBreakBefore w:val="0"/>
        <w:tabs>
          <w:tab w:val="left" w:pos="900"/>
        </w:tabs>
        <w:spacing w:after="145" w:line="440" w:lineRule="exact"/>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r>
        <w:rPr>
          <w:rFonts w:hint="eastAsia" w:ascii="宋体" w:hAnsi="宋体" w:cs="宋体"/>
          <w:color w:val="auto"/>
          <w:sz w:val="24"/>
          <w:highlight w:val="none"/>
          <w:shd w:val="clear" w:color="auto" w:fill="auto"/>
          <w:lang w:val="en-US" w:eastAsia="zh-CN"/>
        </w:rPr>
        <w:t>4</w:t>
      </w:r>
      <w:r>
        <w:rPr>
          <w:rFonts w:hint="eastAsia" w:ascii="宋体" w:hAnsi="宋体" w:cs="宋体"/>
          <w:color w:val="auto"/>
          <w:sz w:val="24"/>
          <w:highlight w:val="none"/>
          <w:shd w:val="clear" w:color="auto" w:fill="auto"/>
        </w:rPr>
        <w:t>.4.2</w:t>
      </w:r>
      <w:r>
        <w:rPr>
          <w:rFonts w:hint="eastAsia" w:ascii="宋体" w:hAnsi="宋体" w:cs="宋体"/>
          <w:color w:val="auto"/>
          <w:sz w:val="24"/>
          <w:highlight w:val="none"/>
          <w:shd w:val="clear" w:color="auto" w:fill="auto"/>
          <w:lang w:val="zh-CN"/>
        </w:rPr>
        <w:t>时间：验收合格且采购人收到发票后</w:t>
      </w:r>
      <w:r>
        <w:rPr>
          <w:rFonts w:hint="eastAsia" w:ascii="宋体" w:hAnsi="宋体" w:cs="宋体"/>
          <w:color w:val="auto"/>
          <w:sz w:val="24"/>
          <w:highlight w:val="none"/>
          <w:shd w:val="clear" w:color="auto" w:fill="auto"/>
          <w:lang w:val="en-US" w:eastAsia="zh-CN"/>
        </w:rPr>
        <w:t>60</w:t>
      </w:r>
      <w:r>
        <w:rPr>
          <w:rFonts w:hint="eastAsia" w:ascii="宋体" w:hAnsi="宋体" w:cs="宋体"/>
          <w:color w:val="auto"/>
          <w:sz w:val="24"/>
          <w:highlight w:val="none"/>
          <w:shd w:val="clear" w:color="auto" w:fill="auto"/>
        </w:rPr>
        <w:t>日内。</w:t>
      </w:r>
    </w:p>
    <w:p w14:paraId="3AADAF0C">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r>
        <w:rPr>
          <w:rFonts w:hint="eastAsia" w:ascii="宋体" w:hAnsi="宋体" w:cs="宋体"/>
          <w:color w:val="auto"/>
          <w:sz w:val="24"/>
          <w:highlight w:val="none"/>
          <w:shd w:val="clear" w:color="auto" w:fill="auto"/>
          <w:lang w:val="en-US" w:eastAsia="zh-CN"/>
        </w:rPr>
        <w:t>4</w:t>
      </w:r>
      <w:r>
        <w:rPr>
          <w:rFonts w:hint="eastAsia" w:ascii="宋体" w:hAnsi="宋体" w:cs="宋体"/>
          <w:color w:val="auto"/>
          <w:sz w:val="24"/>
          <w:highlight w:val="none"/>
          <w:shd w:val="clear" w:color="auto" w:fill="auto"/>
        </w:rPr>
        <w:t>.4.3</w:t>
      </w:r>
      <w:r>
        <w:rPr>
          <w:rFonts w:hint="eastAsia" w:ascii="宋体" w:hAnsi="宋体" w:cs="宋体"/>
          <w:color w:val="auto"/>
          <w:sz w:val="24"/>
          <w:highlight w:val="none"/>
          <w:shd w:val="clear" w:color="auto" w:fill="auto"/>
          <w:lang w:val="zh-CN"/>
        </w:rPr>
        <w:t>条件：按合同要求全部履约完成</w:t>
      </w:r>
      <w:r>
        <w:rPr>
          <w:rFonts w:hint="eastAsia" w:ascii="宋体" w:hAnsi="宋体" w:cs="宋体"/>
          <w:color w:val="auto"/>
          <w:sz w:val="24"/>
          <w:highlight w:val="none"/>
          <w:shd w:val="clear" w:color="auto" w:fill="auto"/>
          <w:lang w:val="en-US" w:eastAsia="zh-CN"/>
        </w:rPr>
        <w:t>或</w:t>
      </w:r>
      <w:r>
        <w:rPr>
          <w:rFonts w:hint="eastAsia" w:ascii="宋体" w:hAnsi="宋体" w:cs="宋体"/>
          <w:color w:val="auto"/>
          <w:sz w:val="24"/>
          <w:highlight w:val="none"/>
          <w:shd w:val="clear" w:color="auto" w:fill="auto"/>
          <w:lang w:val="zh-CN"/>
        </w:rPr>
        <w:t>经采购人验收合格</w:t>
      </w:r>
      <w:r>
        <w:rPr>
          <w:rFonts w:hint="eastAsia" w:ascii="宋体" w:hAnsi="宋体" w:cs="宋体"/>
          <w:color w:val="auto"/>
          <w:sz w:val="24"/>
          <w:highlight w:val="none"/>
          <w:shd w:val="clear" w:color="auto" w:fill="auto"/>
          <w:lang w:val="en-US" w:eastAsia="zh-CN"/>
        </w:rPr>
        <w:t>同意</w:t>
      </w:r>
      <w:r>
        <w:rPr>
          <w:rFonts w:hint="eastAsia" w:ascii="宋体" w:hAnsi="宋体" w:cs="宋体"/>
          <w:color w:val="auto"/>
          <w:sz w:val="24"/>
          <w:highlight w:val="none"/>
          <w:shd w:val="clear" w:color="auto" w:fill="auto"/>
          <w:lang w:val="zh-CN"/>
        </w:rPr>
        <w:t>。</w:t>
      </w:r>
    </w:p>
    <w:p w14:paraId="55E4AF34">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r>
        <w:rPr>
          <w:rFonts w:hint="eastAsia" w:ascii="宋体" w:hAnsi="宋体" w:cs="宋体"/>
          <w:color w:val="auto"/>
          <w:sz w:val="24"/>
          <w:highlight w:val="none"/>
          <w:shd w:val="clear" w:color="auto" w:fill="auto"/>
          <w:lang w:val="en-US" w:eastAsia="zh-CN"/>
        </w:rPr>
        <w:t>4</w:t>
      </w:r>
      <w:r>
        <w:rPr>
          <w:rFonts w:hint="eastAsia" w:ascii="宋体" w:hAnsi="宋体" w:cs="宋体"/>
          <w:color w:val="auto"/>
          <w:sz w:val="24"/>
          <w:highlight w:val="none"/>
          <w:shd w:val="clear" w:color="auto" w:fill="auto"/>
        </w:rPr>
        <w:t>.4.4</w:t>
      </w:r>
      <w:r>
        <w:rPr>
          <w:rFonts w:hint="eastAsia" w:ascii="宋体" w:hAnsi="宋体" w:cs="宋体"/>
          <w:color w:val="auto"/>
          <w:sz w:val="24"/>
          <w:highlight w:val="none"/>
          <w:shd w:val="clear" w:color="auto" w:fill="auto"/>
          <w:lang w:val="zh-CN"/>
        </w:rPr>
        <w:t>不予退还情形：</w:t>
      </w:r>
    </w:p>
    <w:p w14:paraId="616C5F32">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除不可抗力情况外，投标人出现下列情形之一的，</w:t>
      </w:r>
      <w:r>
        <w:rPr>
          <w:rFonts w:hint="eastAsia" w:ascii="宋体" w:hAnsi="宋体" w:cs="宋体"/>
          <w:color w:val="auto"/>
          <w:sz w:val="24"/>
          <w:highlight w:val="none"/>
          <w:shd w:val="clear" w:color="auto" w:fill="auto"/>
        </w:rPr>
        <w:t>其履约保证金，招标人</w:t>
      </w:r>
      <w:r>
        <w:rPr>
          <w:rFonts w:hint="eastAsia" w:ascii="宋体" w:hAnsi="宋体" w:cs="宋体"/>
          <w:color w:val="auto"/>
          <w:sz w:val="24"/>
          <w:highlight w:val="none"/>
          <w:shd w:val="clear" w:color="auto" w:fill="auto"/>
          <w:lang w:val="zh-CN"/>
        </w:rPr>
        <w:t>将</w:t>
      </w:r>
      <w:r>
        <w:rPr>
          <w:rFonts w:hint="eastAsia" w:ascii="宋体" w:hAnsi="宋体" w:cs="宋体"/>
          <w:color w:val="auto"/>
          <w:sz w:val="24"/>
          <w:highlight w:val="none"/>
          <w:shd w:val="clear" w:color="auto" w:fill="auto"/>
        </w:rPr>
        <w:t>不予退还。</w:t>
      </w:r>
    </w:p>
    <w:p w14:paraId="747D4211">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w:t>
      </w:r>
      <w:r>
        <w:rPr>
          <w:rFonts w:hint="eastAsia" w:ascii="宋体" w:hAnsi="宋体" w:cs="宋体"/>
          <w:color w:val="auto"/>
          <w:sz w:val="24"/>
          <w:highlight w:val="none"/>
          <w:shd w:val="clear" w:color="auto" w:fill="auto"/>
        </w:rPr>
        <w:t>1</w:t>
      </w:r>
      <w:r>
        <w:rPr>
          <w:rFonts w:hint="eastAsia" w:ascii="宋体" w:hAnsi="宋体" w:cs="宋体"/>
          <w:color w:val="auto"/>
          <w:sz w:val="24"/>
          <w:highlight w:val="none"/>
          <w:shd w:val="clear" w:color="auto" w:fill="auto"/>
          <w:lang w:val="zh-CN"/>
        </w:rPr>
        <w:t>）中标人无正当理由拒绝签订合同的，或者在签订合同时向</w:t>
      </w:r>
      <w:r>
        <w:rPr>
          <w:rFonts w:hint="eastAsia" w:ascii="宋体" w:hAnsi="宋体" w:cs="宋体"/>
          <w:color w:val="auto"/>
          <w:sz w:val="24"/>
          <w:highlight w:val="none"/>
          <w:shd w:val="clear" w:color="auto" w:fill="auto"/>
        </w:rPr>
        <w:t>采购</w:t>
      </w:r>
      <w:r>
        <w:rPr>
          <w:rFonts w:hint="eastAsia" w:ascii="宋体" w:hAnsi="宋体" w:cs="宋体"/>
          <w:color w:val="auto"/>
          <w:sz w:val="24"/>
          <w:highlight w:val="none"/>
          <w:shd w:val="clear" w:color="auto" w:fill="auto"/>
          <w:lang w:val="zh-CN"/>
        </w:rPr>
        <w:t>人提出附加条件或者更改合同实质性内容要求的；</w:t>
      </w:r>
    </w:p>
    <w:p w14:paraId="536F1BC5">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w:t>
      </w: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val="zh-CN"/>
        </w:rPr>
        <w:t>）中标人不履行与</w:t>
      </w:r>
      <w:r>
        <w:rPr>
          <w:rFonts w:hint="eastAsia" w:ascii="宋体" w:hAnsi="宋体" w:cs="宋体"/>
          <w:color w:val="auto"/>
          <w:sz w:val="24"/>
          <w:highlight w:val="none"/>
          <w:shd w:val="clear" w:color="auto" w:fill="auto"/>
        </w:rPr>
        <w:t>采购</w:t>
      </w:r>
      <w:r>
        <w:rPr>
          <w:rFonts w:hint="eastAsia" w:ascii="宋体" w:hAnsi="宋体" w:cs="宋体"/>
          <w:color w:val="auto"/>
          <w:sz w:val="24"/>
          <w:highlight w:val="none"/>
          <w:shd w:val="clear" w:color="auto" w:fill="auto"/>
          <w:lang w:val="zh-CN"/>
        </w:rPr>
        <w:t>人订立的合同的；</w:t>
      </w:r>
    </w:p>
    <w:p w14:paraId="432B49F5">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w:t>
      </w:r>
      <w:r>
        <w:rPr>
          <w:rFonts w:hint="eastAsia" w:ascii="宋体" w:hAnsi="宋体" w:cs="宋体"/>
          <w:color w:val="auto"/>
          <w:sz w:val="24"/>
          <w:highlight w:val="none"/>
          <w:shd w:val="clear" w:color="auto" w:fill="auto"/>
        </w:rPr>
        <w:t>3</w:t>
      </w:r>
      <w:r>
        <w:rPr>
          <w:rFonts w:hint="eastAsia" w:ascii="宋体" w:hAnsi="宋体" w:cs="宋体"/>
          <w:color w:val="auto"/>
          <w:sz w:val="24"/>
          <w:highlight w:val="none"/>
          <w:shd w:val="clear" w:color="auto" w:fill="auto"/>
          <w:lang w:val="zh-CN"/>
        </w:rPr>
        <w:t>）中标人所供货物</w:t>
      </w:r>
      <w:r>
        <w:rPr>
          <w:rFonts w:hint="eastAsia" w:ascii="宋体" w:hAnsi="宋体" w:cs="宋体"/>
          <w:color w:val="auto"/>
          <w:sz w:val="24"/>
          <w:highlight w:val="none"/>
          <w:shd w:val="clear" w:color="auto" w:fill="auto"/>
        </w:rPr>
        <w:t>或服务</w:t>
      </w:r>
      <w:r>
        <w:rPr>
          <w:rFonts w:hint="eastAsia" w:ascii="宋体" w:hAnsi="宋体" w:cs="宋体"/>
          <w:color w:val="auto"/>
          <w:sz w:val="24"/>
          <w:highlight w:val="none"/>
          <w:shd w:val="clear" w:color="auto" w:fill="auto"/>
          <w:lang w:val="zh-CN"/>
        </w:rPr>
        <w:t>不符合招标文件规定要求的；</w:t>
      </w:r>
    </w:p>
    <w:p w14:paraId="6A4A4C86">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w:t>
      </w:r>
      <w:r>
        <w:rPr>
          <w:rFonts w:hint="eastAsia" w:ascii="宋体" w:hAnsi="宋体" w:cs="宋体"/>
          <w:color w:val="auto"/>
          <w:sz w:val="24"/>
          <w:highlight w:val="none"/>
          <w:shd w:val="clear" w:color="auto" w:fill="auto"/>
        </w:rPr>
        <w:t>4</w:t>
      </w:r>
      <w:r>
        <w:rPr>
          <w:rFonts w:hint="eastAsia" w:ascii="宋体" w:hAnsi="宋体" w:cs="宋体"/>
          <w:color w:val="auto"/>
          <w:sz w:val="24"/>
          <w:highlight w:val="none"/>
          <w:shd w:val="clear" w:color="auto" w:fill="auto"/>
          <w:lang w:val="zh-CN"/>
        </w:rPr>
        <w:t>）</w:t>
      </w:r>
      <w:r>
        <w:rPr>
          <w:rFonts w:hint="eastAsia" w:ascii="宋体" w:hAnsi="宋体" w:cs="宋体"/>
          <w:color w:val="auto"/>
          <w:sz w:val="24"/>
          <w:highlight w:val="none"/>
          <w:shd w:val="clear" w:color="auto" w:fill="auto"/>
        </w:rPr>
        <w:t>中标人</w:t>
      </w:r>
      <w:r>
        <w:rPr>
          <w:rFonts w:hint="eastAsia" w:ascii="宋体" w:hAnsi="宋体" w:cs="宋体"/>
          <w:color w:val="auto"/>
          <w:sz w:val="24"/>
          <w:highlight w:val="none"/>
          <w:shd w:val="clear" w:color="auto" w:fill="auto"/>
          <w:lang w:val="zh-CN"/>
        </w:rPr>
        <w:t>采取欺骗、弄虚作假方式投标的或与其它投标人串通投标的；</w:t>
      </w:r>
    </w:p>
    <w:p w14:paraId="04C15E8F">
      <w:pPr>
        <w:pStyle w:val="633"/>
        <w:keepNext w:val="0"/>
        <w:keepLines w:val="0"/>
        <w:pageBreakBefore w:val="0"/>
        <w:spacing w:line="440" w:lineRule="exact"/>
        <w:ind w:left="0" w:right="1470" w:firstLine="480"/>
        <w:rPr>
          <w:color w:val="auto"/>
          <w:highlight w:val="none"/>
          <w:shd w:val="clear" w:color="auto" w:fill="auto"/>
        </w:rPr>
      </w:pPr>
      <w:r>
        <w:rPr>
          <w:rFonts w:ascii="宋体" w:hAnsi="宋体" w:cs="宋体"/>
          <w:color w:val="auto"/>
          <w:sz w:val="24"/>
          <w:highlight w:val="none"/>
          <w:shd w:val="clear" w:color="auto" w:fill="auto"/>
        </w:rPr>
        <w:t>（5）中标人将合同内容转包、违法分包的；</w:t>
      </w:r>
    </w:p>
    <w:p w14:paraId="3171854F">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w:t>
      </w:r>
      <w:r>
        <w:rPr>
          <w:rFonts w:hint="eastAsia" w:ascii="宋体" w:hAnsi="宋体" w:cs="宋体"/>
          <w:color w:val="auto"/>
          <w:sz w:val="24"/>
          <w:highlight w:val="none"/>
          <w:shd w:val="clear" w:color="auto" w:fill="auto"/>
        </w:rPr>
        <w:t>6</w:t>
      </w:r>
      <w:r>
        <w:rPr>
          <w:rFonts w:hint="eastAsia" w:ascii="宋体" w:hAnsi="宋体" w:cs="宋体"/>
          <w:color w:val="auto"/>
          <w:sz w:val="24"/>
          <w:highlight w:val="none"/>
          <w:shd w:val="clear" w:color="auto" w:fill="auto"/>
          <w:lang w:val="zh-CN"/>
        </w:rPr>
        <w:t>）</w:t>
      </w:r>
      <w:r>
        <w:rPr>
          <w:rFonts w:hint="eastAsia" w:ascii="宋体" w:hAnsi="宋体" w:cs="宋体"/>
          <w:color w:val="auto"/>
          <w:sz w:val="24"/>
          <w:highlight w:val="none"/>
          <w:shd w:val="clear" w:color="auto" w:fill="auto"/>
        </w:rPr>
        <w:t>中标</w:t>
      </w:r>
      <w:r>
        <w:rPr>
          <w:rFonts w:hint="eastAsia" w:ascii="宋体" w:hAnsi="宋体" w:cs="宋体"/>
          <w:color w:val="auto"/>
          <w:sz w:val="24"/>
          <w:highlight w:val="none"/>
          <w:shd w:val="clear" w:color="auto" w:fill="auto"/>
          <w:lang w:val="zh-CN"/>
        </w:rPr>
        <w:t>人故意捏造事实或伪造证明材料，进行虚假恶意投诉或反映的。</w:t>
      </w:r>
    </w:p>
    <w:p w14:paraId="1E7E351E">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3</w:t>
      </w:r>
      <w:r>
        <w:rPr>
          <w:rFonts w:hint="eastAsia" w:ascii="宋体" w:hAnsi="宋体" w:cs="宋体"/>
          <w:color w:val="auto"/>
          <w:sz w:val="24"/>
          <w:highlight w:val="none"/>
          <w:shd w:val="clear" w:color="auto" w:fill="auto"/>
          <w:lang w:val="en-US" w:eastAsia="zh-CN"/>
        </w:rPr>
        <w:t>4</w:t>
      </w:r>
      <w:r>
        <w:rPr>
          <w:rFonts w:hint="eastAsia" w:ascii="宋体" w:hAnsi="宋体" w:cs="宋体"/>
          <w:color w:val="auto"/>
          <w:sz w:val="24"/>
          <w:highlight w:val="none"/>
          <w:shd w:val="clear" w:color="auto" w:fill="auto"/>
          <w:lang w:val="zh-CN"/>
        </w:rPr>
        <w:t>.4.5逾期退还的违约责任：</w:t>
      </w:r>
    </w:p>
    <w:p w14:paraId="0750C914">
      <w:pPr>
        <w:keepNext w:val="0"/>
        <w:keepLines w:val="0"/>
        <w:pageBreakBefore w:val="0"/>
        <w:tabs>
          <w:tab w:val="left" w:pos="900"/>
        </w:tabs>
        <w:spacing w:after="145" w:line="440" w:lineRule="exact"/>
        <w:ind w:firstLine="48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采购人逾期无故未退还履约保证金的，按银行同期利息标准支取利息，但因供应商自身原因导致无法及时退还的除外。</w:t>
      </w:r>
    </w:p>
    <w:p w14:paraId="24C9DD74">
      <w:pPr>
        <w:pStyle w:val="588"/>
        <w:keepNext w:val="0"/>
        <w:keepLines w:val="0"/>
        <w:pageBreakBefore w:val="0"/>
        <w:shd w:val="clear" w:color="auto" w:fill="auto"/>
        <w:spacing w:line="440" w:lineRule="exact"/>
        <w:outlineLvl w:val="1"/>
        <w:rPr>
          <w:rFonts w:hint="eastAsia" w:ascii="宋体" w:hAnsi="宋体" w:eastAsia="宋体" w:cs="宋体"/>
          <w:color w:val="auto"/>
          <w:highlight w:val="none"/>
        </w:rPr>
      </w:pPr>
      <w:r>
        <w:rPr>
          <w:rFonts w:hint="eastAsia" w:ascii="宋体" w:hAnsi="宋体" w:eastAsia="宋体" w:cs="宋体"/>
          <w:color w:val="auto"/>
          <w:highlight w:val="none"/>
        </w:rPr>
        <w:t>八、验收及付款</w:t>
      </w:r>
      <w:bookmarkEnd w:id="50"/>
      <w:bookmarkEnd w:id="51"/>
      <w:bookmarkEnd w:id="52"/>
    </w:p>
    <w:p w14:paraId="3AA320FC">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35、验收</w:t>
      </w:r>
    </w:p>
    <w:p w14:paraId="6E3545BD">
      <w:pPr>
        <w:keepNext w:val="0"/>
        <w:keepLines w:val="0"/>
        <w:pageBreakBefore w:val="0"/>
        <w:shd w:val="clear" w:color="auto" w:fill="auto"/>
        <w:spacing w:line="440" w:lineRule="exact"/>
        <w:ind w:firstLine="480"/>
        <w:rPr>
          <w:rFonts w:hint="eastAsia" w:ascii="宋体" w:hAnsi="宋体" w:cs="宋体"/>
          <w:color w:val="auto"/>
          <w:sz w:val="24"/>
          <w:highlight w:val="none"/>
        </w:rPr>
      </w:pPr>
      <w:bookmarkStart w:id="53" w:name="EBbbb2492ed6b84c9193a6bb6f72a512f3"/>
      <w:r>
        <w:rPr>
          <w:rFonts w:hint="eastAsia" w:ascii="宋体" w:hAnsi="宋体" w:cs="宋体"/>
          <w:color w:val="auto"/>
          <w:sz w:val="24"/>
          <w:highlight w:val="none"/>
        </w:rPr>
        <w:t>35.1由采购人组织验收，中标人配合。</w:t>
      </w:r>
      <w:bookmarkEnd w:id="53"/>
    </w:p>
    <w:p w14:paraId="25379504">
      <w:pPr>
        <w:keepNext w:val="0"/>
        <w:keepLines w:val="0"/>
        <w:pageBreakBefore w:val="0"/>
        <w:shd w:val="clear" w:color="auto" w:fill="auto"/>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36、付款</w:t>
      </w:r>
    </w:p>
    <w:p w14:paraId="791CAC7A">
      <w:pPr>
        <w:keepNext w:val="0"/>
        <w:keepLines w:val="0"/>
        <w:pageBreakBefore w:val="0"/>
        <w:shd w:val="clear" w:color="auto" w:fill="auto"/>
        <w:spacing w:line="440" w:lineRule="exact"/>
        <w:ind w:firstLine="480"/>
        <w:rPr>
          <w:rFonts w:hint="eastAsia" w:ascii="宋体" w:hAnsi="宋体" w:cs="宋体"/>
          <w:color w:val="auto"/>
          <w:sz w:val="24"/>
          <w:highlight w:val="none"/>
        </w:rPr>
      </w:pPr>
      <w:bookmarkStart w:id="54" w:name="EBf0da31fab3a04ad0893de83144a87b34"/>
      <w:r>
        <w:rPr>
          <w:rFonts w:hint="eastAsia" w:ascii="宋体" w:hAnsi="宋体" w:cs="宋体"/>
          <w:color w:val="auto"/>
          <w:sz w:val="24"/>
          <w:highlight w:val="none"/>
        </w:rPr>
        <w:t>36.1</w:t>
      </w:r>
      <w:bookmarkEnd w:id="54"/>
      <w:r>
        <w:rPr>
          <w:rFonts w:hint="eastAsia" w:ascii="宋体" w:hAnsi="宋体" w:cs="宋体"/>
          <w:color w:val="auto"/>
          <w:sz w:val="24"/>
          <w:highlight w:val="none"/>
        </w:rPr>
        <w:t xml:space="preserve"> 采购人按招标文件要求办理采购款支付手续。</w:t>
      </w:r>
    </w:p>
    <w:p w14:paraId="255731F6">
      <w:pPr>
        <w:pStyle w:val="588"/>
        <w:keepNext w:val="0"/>
        <w:keepLines w:val="0"/>
        <w:pageBreakBefore w:val="0"/>
        <w:shd w:val="clear" w:color="auto" w:fill="auto"/>
        <w:spacing w:line="440" w:lineRule="exact"/>
        <w:outlineLvl w:val="1"/>
        <w:rPr>
          <w:rFonts w:hint="eastAsia" w:ascii="宋体" w:hAnsi="宋体" w:eastAsia="宋体" w:cs="宋体"/>
          <w:color w:val="auto"/>
          <w:highlight w:val="none"/>
        </w:rPr>
      </w:pPr>
      <w:bookmarkStart w:id="55" w:name="_Toc81493170"/>
      <w:bookmarkStart w:id="56" w:name="_Toc10945"/>
      <w:bookmarkStart w:id="57" w:name="_Toc514054480"/>
      <w:r>
        <w:rPr>
          <w:rFonts w:hint="eastAsia" w:ascii="宋体" w:hAnsi="宋体" w:eastAsia="宋体" w:cs="宋体"/>
          <w:color w:val="auto"/>
          <w:highlight w:val="none"/>
        </w:rPr>
        <w:t>九、质疑与投诉</w:t>
      </w:r>
      <w:bookmarkEnd w:id="55"/>
      <w:bookmarkEnd w:id="56"/>
      <w:bookmarkEnd w:id="57"/>
    </w:p>
    <w:p w14:paraId="3DFB2D49">
      <w:pPr>
        <w:keepNext w:val="0"/>
        <w:keepLines w:val="0"/>
        <w:pageBreakBefore w:val="0"/>
        <w:shd w:val="clear" w:color="auto" w:fill="auto"/>
        <w:spacing w:line="440" w:lineRule="exact"/>
        <w:ind w:firstLine="422"/>
        <w:rPr>
          <w:rFonts w:hint="eastAsia" w:ascii="宋体" w:hAnsi="宋体" w:cs="宋体"/>
          <w:b/>
          <w:color w:val="auto"/>
          <w:highlight w:val="none"/>
        </w:rPr>
      </w:pPr>
      <w:r>
        <w:rPr>
          <w:rFonts w:hint="eastAsia" w:ascii="宋体" w:hAnsi="宋体" w:cs="宋体"/>
          <w:b/>
          <w:color w:val="auto"/>
          <w:highlight w:val="none"/>
        </w:rPr>
        <w:t>37、质疑与投诉</w:t>
      </w:r>
    </w:p>
    <w:p w14:paraId="7134502E">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一次性提出质疑。质疑人必须提供投标人为其缴纳的在职社保证明，质疑超出采购代理机构代理范围的，供应商应当向采购人提出。质疑期外的任何时间对招标文件提出疑义的或未按上述要求提交的质疑函，采购人或代理机构有权不予受理。</w:t>
      </w:r>
    </w:p>
    <w:p w14:paraId="313E7034">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37.2供应商应知其权益受到损害之日，是指：</w:t>
      </w:r>
    </w:p>
    <w:p w14:paraId="729CD286">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（1）对本项目采购文件提出质疑的，采购文件公告期限届满之日；</w:t>
      </w:r>
    </w:p>
    <w:p w14:paraId="0AA3D403">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（2）对本项目采购过程提出质疑的，为各采购程序环节结束之日；</w:t>
      </w:r>
    </w:p>
    <w:p w14:paraId="5C1786BE">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（3）对本项目中标或者成交结果提出质疑的，为中标或者成交结果公告期限届满之日。</w:t>
      </w:r>
    </w:p>
    <w:p w14:paraId="6F906A1F">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2E872A08">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37.4供应商提出质疑应当提交质疑函和必要的证明材料。质疑函的必备内容：</w:t>
      </w:r>
    </w:p>
    <w:p w14:paraId="7FF9C55A">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（1）供应商的姓名或者名称、地址、邮编、联系人及联系电话；</w:t>
      </w:r>
    </w:p>
    <w:p w14:paraId="6CBFC640">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6F4257F0">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（3）具体、明确的质疑事项和质疑事项相关的请求；</w:t>
      </w:r>
    </w:p>
    <w:p w14:paraId="21473677">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（4）事实依据；</w:t>
      </w:r>
    </w:p>
    <w:p w14:paraId="677CD084">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6ECD0EBC">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6CB6EF14">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（7）供应商为自然人的，由本人签字；供应商为法人或者其他组织的，应当由法定代表人、主要负责人，或者其授权代表签字或者盖章，并加盖公章。</w:t>
      </w:r>
    </w:p>
    <w:p w14:paraId="575BD7BD">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58AD53F1">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37.5以联合体形式参加政府采购活动的，其质疑应当由组成联合体的所有供应商共同提出。</w:t>
      </w:r>
    </w:p>
    <w:p w14:paraId="220F69B0">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1429DFCC">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37.7采购人、采购代理机构在收到质疑函后7个工作日内作出答复，并以书面形式通知质疑供应商和其他有关供应商，但质疑答复的内容不涉及商业秘密。</w:t>
      </w:r>
    </w:p>
    <w:p w14:paraId="099BE3BE">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02655B92">
      <w:pPr>
        <w:keepNext w:val="0"/>
        <w:keepLines w:val="0"/>
        <w:pageBreakBefore w:val="0"/>
        <w:shd w:val="clear" w:color="auto" w:fill="auto"/>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44"/>
    </w:p>
    <w:p w14:paraId="2D49EA7B">
      <w:pPr>
        <w:pStyle w:val="588"/>
        <w:keepNext w:val="0"/>
        <w:keepLines w:val="0"/>
        <w:pageBreakBefore w:val="0"/>
        <w:numPr>
          <w:ilvl w:val="0"/>
          <w:numId w:val="8"/>
        </w:numPr>
        <w:shd w:val="clear" w:color="auto" w:fill="auto"/>
        <w:spacing w:line="440" w:lineRule="exact"/>
        <w:outlineLvl w:val="1"/>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售后服务要求</w:t>
      </w:r>
    </w:p>
    <w:p w14:paraId="2AA82603">
      <w:pPr>
        <w:keepNext w:val="0"/>
        <w:keepLines w:val="0"/>
        <w:pageBreakBefore w:val="0"/>
        <w:shd w:val="clear" w:color="auto" w:fill="auto"/>
        <w:spacing w:line="44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38、售后服务要求</w:t>
      </w:r>
    </w:p>
    <w:p w14:paraId="74F3663C">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.1 在招标文件规定的免费质量保修期内，投标人应对招标范围内所有损坏的货物及零部件修理或更换，并承担由此所发生的修理或更换费、检测费、维修人员工资、往返费用等一切费用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采购人不再另行支付任何费用</w:t>
      </w:r>
      <w:r>
        <w:rPr>
          <w:rFonts w:hint="eastAsia" w:ascii="宋体" w:hAnsi="宋体" w:eastAsia="宋体" w:cs="宋体"/>
          <w:color w:val="auto"/>
          <w:sz w:val="24"/>
          <w:szCs w:val="24"/>
          <w:highlight w:val="none"/>
        </w:rPr>
        <w:t>。</w:t>
      </w:r>
    </w:p>
    <w:p w14:paraId="23346C39">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.2 免费质保期内提供7×24小时服务，接到故障报修后1小时内做出响应，24小时内应派专业技术人员到达现场。一般故障 4 小时内解决；重大故障24小时内解决；如在48小时内无法排除故障的，须免费提供原厂同等配置的备用货物以保证招标人货物的正常运行。若未能在规定的时间内进行响应和解决货物故障的，招标人有权自行处理，所产生的费用和风险由中标人承担，其费用在合同款中扣除。投标人需提供售后服务方案，售后服务方案内容至少应包括现场服务、定期巡检、故障服务等内容。</w:t>
      </w:r>
    </w:p>
    <w:p w14:paraId="3B65B900">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在免费质量保修期满后，如招标人仍要求供应商提供相关服务，投标人</w:t>
      </w:r>
      <w:r>
        <w:rPr>
          <w:rFonts w:hint="eastAsia" w:ascii="宋体" w:hAnsi="宋体" w:eastAsia="宋体" w:cs="宋体"/>
          <w:color w:val="auto"/>
          <w:sz w:val="24"/>
          <w:szCs w:val="24"/>
          <w:highlight w:val="none"/>
          <w:lang w:val="en-US" w:eastAsia="zh-CN"/>
        </w:rPr>
        <w:t>仍可</w:t>
      </w:r>
      <w:r>
        <w:rPr>
          <w:rFonts w:hint="eastAsia" w:ascii="宋体" w:hAnsi="宋体" w:eastAsia="宋体" w:cs="宋体"/>
          <w:color w:val="auto"/>
          <w:sz w:val="24"/>
          <w:szCs w:val="24"/>
          <w:highlight w:val="none"/>
        </w:rPr>
        <w:t>提供服务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服务费用以重新招标的结果执行</w:t>
      </w:r>
      <w:r>
        <w:rPr>
          <w:rFonts w:hint="eastAsia" w:ascii="宋体" w:hAnsi="宋体" w:eastAsia="宋体" w:cs="宋体"/>
          <w:color w:val="auto"/>
          <w:sz w:val="24"/>
          <w:szCs w:val="24"/>
          <w:highlight w:val="none"/>
        </w:rPr>
        <w:t>。</w:t>
      </w:r>
    </w:p>
    <w:p w14:paraId="69A5A9BD">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如技术参数中对售后服务时间有明确规定的，按其规定的时间执行。</w:t>
      </w:r>
    </w:p>
    <w:p w14:paraId="6702208B">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p>
    <w:p w14:paraId="439D2549">
      <w:pPr>
        <w:pStyle w:val="588"/>
        <w:keepNext w:val="0"/>
        <w:keepLines w:val="0"/>
        <w:pageBreakBefore w:val="0"/>
        <w:numPr>
          <w:ilvl w:val="0"/>
          <w:numId w:val="8"/>
        </w:numPr>
        <w:shd w:val="clear" w:color="auto" w:fill="auto"/>
        <w:spacing w:line="440" w:lineRule="exact"/>
        <w:outlineLvl w:val="1"/>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有关说明</w:t>
      </w:r>
    </w:p>
    <w:p w14:paraId="395894B0">
      <w:pPr>
        <w:keepNext w:val="0"/>
        <w:keepLines w:val="0"/>
        <w:pageBreakBefore w:val="0"/>
        <w:shd w:val="clear" w:color="auto" w:fill="auto"/>
        <w:spacing w:line="440" w:lineRule="exact"/>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39、</w:t>
      </w:r>
      <w:r>
        <w:rPr>
          <w:rFonts w:hint="eastAsia" w:ascii="宋体" w:hAnsi="宋体" w:eastAsia="宋体" w:cs="宋体"/>
          <w:b/>
          <w:bCs w:val="0"/>
          <w:color w:val="auto"/>
          <w:sz w:val="24"/>
          <w:szCs w:val="24"/>
          <w:highlight w:val="none"/>
        </w:rPr>
        <w:t>有关说明</w:t>
      </w:r>
    </w:p>
    <w:p w14:paraId="597AA7A1">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对</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zh-CN"/>
        </w:rPr>
        <w:t>文件相关条款理解产生分歧时由招标人负责解释。</w:t>
      </w:r>
      <w:r>
        <w:rPr>
          <w:rFonts w:hint="eastAsia" w:ascii="宋体" w:hAnsi="宋体" w:eastAsia="宋体" w:cs="宋体"/>
          <w:color w:val="auto"/>
          <w:sz w:val="24"/>
          <w:szCs w:val="24"/>
          <w:highlight w:val="none"/>
        </w:rPr>
        <w:t>采购文件</w:t>
      </w:r>
      <w:r>
        <w:rPr>
          <w:rFonts w:hint="eastAsia" w:ascii="宋体" w:hAnsi="宋体" w:eastAsia="宋体" w:cs="宋体"/>
          <w:color w:val="auto"/>
          <w:sz w:val="24"/>
          <w:szCs w:val="24"/>
          <w:highlight w:val="none"/>
          <w:lang w:val="zh-CN"/>
        </w:rPr>
        <w:t>中未尽事宜遵照《中华人民共和国政府采购法》、《中华人民共和国政府采购法实施条例》等国家有关法律、法规及相关文件规定。</w:t>
      </w:r>
    </w:p>
    <w:p w14:paraId="6380493C">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在产品验收合格之前</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所有</w:t>
      </w:r>
      <w:r>
        <w:rPr>
          <w:rFonts w:hint="eastAsia" w:ascii="宋体" w:hAnsi="宋体" w:eastAsia="宋体" w:cs="宋体"/>
          <w:color w:val="auto"/>
          <w:sz w:val="24"/>
          <w:szCs w:val="24"/>
          <w:highlight w:val="none"/>
          <w:lang w:val="zh-CN"/>
        </w:rPr>
        <w:t>安全责任由</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val="zh-CN"/>
        </w:rPr>
        <w:t>人负责。</w:t>
      </w:r>
    </w:p>
    <w:p w14:paraId="60ECFC52">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投标单位因不良行为被下列部门取消或限制在全国、江苏省、盐城市、滨海县投标资格，并在不良行为记录公告期限内的，将被取消投标资格或者中标资格：</w:t>
      </w:r>
    </w:p>
    <w:p w14:paraId="1393A813">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p>
    <w:p w14:paraId="365E2379">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上述行政主管部门和招标采购监管机构以外的不良行为记录公告，一律不作为取消或限制投标资格和中标资格的依据。</w:t>
      </w:r>
    </w:p>
    <w:p w14:paraId="4E8B7A24">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符合现行法律、法规、规章及相关招标管理文件明确限制投标情形的，将被取消投标资格或者中标资格。</w:t>
      </w:r>
    </w:p>
    <w:p w14:paraId="14447804">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p>
    <w:p w14:paraId="5B66E2EC">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投标人捏造事实、提供虚假材料或者以非法手段取得证明材料进行投诉的，一经查实，将记入不良行为记录名单档案，并视情节予以公示三个月至五年，公示期间，滨海县其他政府投资项目的招标人可以拒绝其参加投标。</w:t>
      </w:r>
    </w:p>
    <w:p w14:paraId="2626B1A0">
      <w:pPr>
        <w:keepNext w:val="0"/>
        <w:keepLines w:val="0"/>
        <w:pageBreakBefore w:val="0"/>
        <w:shd w:val="clear" w:color="auto" w:fill="auto"/>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因处理投诉发生的第三方检验、检测、鉴定等费用，由提出申请的投标人先行垫付。投诉处理决定明确双方责任后，按照“谁过错谁负担”的原则由承担责任的一方负担；双方都有责任的，由双方合理分担。</w:t>
      </w:r>
    </w:p>
    <w:p w14:paraId="1588CC13">
      <w:pPr>
        <w:pStyle w:val="588"/>
        <w:keepNext w:val="0"/>
        <w:keepLines w:val="0"/>
        <w:pageBreakBefore w:val="0"/>
        <w:shd w:val="clear" w:color="auto" w:fill="auto"/>
        <w:spacing w:line="440" w:lineRule="exact"/>
        <w:outlineLvl w:val="1"/>
        <w:rPr>
          <w:rFonts w:hint="eastAsia" w:ascii="宋体" w:hAnsi="宋体" w:eastAsia="宋体" w:cs="宋体"/>
          <w:b/>
          <w:color w:val="auto"/>
          <w:highlight w:val="none"/>
        </w:rPr>
      </w:pPr>
      <w:bookmarkStart w:id="58" w:name="_Toc120614221"/>
      <w:bookmarkStart w:id="59" w:name="_Toc479757207"/>
      <w:bookmarkStart w:id="60" w:name="_Toc20823314"/>
      <w:bookmarkStart w:id="61" w:name="_Toc513029242"/>
      <w:bookmarkStart w:id="62" w:name="_Toc16938558"/>
      <w:r>
        <w:rPr>
          <w:rFonts w:hint="eastAsia" w:ascii="宋体" w:hAnsi="宋体" w:eastAsia="宋体" w:cs="宋体"/>
          <w:b/>
          <w:color w:val="auto"/>
          <w:highlight w:val="none"/>
          <w:lang w:val="en-US" w:eastAsia="zh-CN"/>
        </w:rPr>
        <w:t>十二、</w:t>
      </w:r>
      <w:r>
        <w:rPr>
          <w:rFonts w:hint="eastAsia" w:ascii="宋体" w:hAnsi="宋体" w:eastAsia="宋体" w:cs="宋体"/>
          <w:b/>
          <w:color w:val="auto"/>
          <w:highlight w:val="none"/>
        </w:rPr>
        <w:t>政府采购履约资金扶持政策</w:t>
      </w:r>
      <w:bookmarkEnd w:id="58"/>
      <w:bookmarkEnd w:id="59"/>
      <w:bookmarkEnd w:id="60"/>
      <w:bookmarkEnd w:id="61"/>
      <w:bookmarkEnd w:id="62"/>
    </w:p>
    <w:p w14:paraId="363DB4B4">
      <w:pPr>
        <w:keepNext w:val="0"/>
        <w:keepLines w:val="0"/>
        <w:pageBreakBefore w:val="0"/>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4A177F99">
      <w:pPr>
        <w:shd w:val="clear" w:color="auto" w:fill="auto"/>
        <w:spacing w:line="500" w:lineRule="exact"/>
        <w:jc w:val="center"/>
        <w:rPr>
          <w:rFonts w:hint="eastAsia"/>
          <w:b/>
          <w:color w:val="auto"/>
          <w:sz w:val="44"/>
          <w:szCs w:val="44"/>
          <w:highlight w:val="none"/>
        </w:rPr>
      </w:pPr>
      <w:r>
        <w:rPr>
          <w:rFonts w:hint="eastAsia"/>
          <w:b/>
          <w:color w:val="auto"/>
          <w:sz w:val="44"/>
          <w:szCs w:val="44"/>
          <w:highlight w:val="none"/>
        </w:rPr>
        <w:br w:type="page" w:clear="all"/>
      </w:r>
      <w:bookmarkStart w:id="63" w:name="EB4d341233595e4bf8ad7006b4bd78d974"/>
      <w:bookmarkEnd w:id="63"/>
      <w:bookmarkStart w:id="64" w:name="_Toc22015"/>
      <w:r>
        <w:rPr>
          <w:rFonts w:hint="eastAsia"/>
          <w:b/>
          <w:color w:val="auto"/>
          <w:sz w:val="44"/>
          <w:szCs w:val="44"/>
          <w:highlight w:val="none"/>
        </w:rPr>
        <w:t xml:space="preserve">第三部分  </w:t>
      </w:r>
      <w:bookmarkEnd w:id="64"/>
      <w:r>
        <w:rPr>
          <w:rFonts w:hint="eastAsia"/>
          <w:b/>
          <w:color w:val="auto"/>
          <w:sz w:val="44"/>
          <w:szCs w:val="44"/>
          <w:highlight w:val="none"/>
        </w:rPr>
        <w:t>评标方法和标准</w:t>
      </w:r>
    </w:p>
    <w:p w14:paraId="1A861965">
      <w:pPr>
        <w:keepNext w:val="0"/>
        <w:keepLines w:val="0"/>
        <w:pageBreakBefore w:val="0"/>
        <w:widowControl w:val="0"/>
        <w:shd w:val="clear" w:color="auto" w:fill="auto"/>
        <w:spacing w:before="156" w:after="156" w:line="440" w:lineRule="exact"/>
        <w:ind w:firstLine="643"/>
        <w:outlineLvl w:val="1"/>
        <w:rPr>
          <w:b/>
          <w:color w:val="auto"/>
          <w:sz w:val="32"/>
          <w:szCs w:val="32"/>
          <w:highlight w:val="none"/>
        </w:rPr>
      </w:pPr>
      <w:bookmarkStart w:id="65" w:name="_Toc24217_WPSOffice_Level2"/>
      <w:bookmarkStart w:id="66" w:name="_Toc4647"/>
      <w:r>
        <w:rPr>
          <w:rFonts w:hint="eastAsia"/>
          <w:b/>
          <w:color w:val="auto"/>
          <w:sz w:val="32"/>
          <w:szCs w:val="32"/>
          <w:highlight w:val="none"/>
        </w:rPr>
        <w:t>一、资格审查</w:t>
      </w:r>
      <w:bookmarkEnd w:id="65"/>
      <w:bookmarkEnd w:id="66"/>
    </w:p>
    <w:p w14:paraId="3BDC279D">
      <w:pPr>
        <w:keepNext w:val="0"/>
        <w:keepLines w:val="0"/>
        <w:pageBreakBefore w:val="0"/>
        <w:widowControl w:val="0"/>
        <w:shd w:val="clear" w:color="auto" w:fill="auto"/>
        <w:spacing w:line="440" w:lineRule="exact"/>
        <w:ind w:firstLine="420"/>
        <w:rPr>
          <w:rFonts w:hint="eastAsia" w:ascii="宋体" w:hAnsi="宋体" w:cs="宋体"/>
          <w:color w:val="auto"/>
          <w:sz w:val="24"/>
          <w:highlight w:val="none"/>
        </w:rPr>
      </w:pPr>
      <w:r>
        <w:rPr>
          <w:rFonts w:hint="eastAsia" w:ascii="宋体" w:hAnsi="宋体" w:cs="宋体"/>
          <w:color w:val="auto"/>
          <w:sz w:val="24"/>
          <w:highlight w:val="none"/>
        </w:rPr>
        <w:t>采购人按照下列指标对各投标人的资格进行审查，未通过审查的为无效标，不参与评标。</w:t>
      </w:r>
    </w:p>
    <w:tbl>
      <w:tblPr>
        <w:tblStyle w:val="31"/>
        <w:tblW w:w="0" w:type="auto"/>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828"/>
        <w:gridCol w:w="4335"/>
      </w:tblGrid>
      <w:tr w14:paraId="28C3967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43E6E399">
            <w:pPr>
              <w:keepNext w:val="0"/>
              <w:keepLines w:val="0"/>
              <w:pageBreakBefore w:val="0"/>
              <w:widowControl w:val="0"/>
              <w:shd w:val="clear" w:color="auto" w:fill="auto"/>
              <w:spacing w:line="440" w:lineRule="exact"/>
              <w:jc w:val="center"/>
              <w:rPr>
                <w:rFonts w:hint="eastAsia" w:ascii="宋体" w:hAnsi="宋体" w:cs="宋体"/>
                <w:color w:val="auto"/>
                <w:highlight w:val="none"/>
              </w:rPr>
            </w:pPr>
            <w:r>
              <w:rPr>
                <w:rFonts w:hint="eastAsia" w:ascii="宋体" w:hAnsi="宋体" w:cs="宋体"/>
                <w:color w:val="auto"/>
                <w:highlight w:val="none"/>
              </w:rPr>
              <w:t>资格审查因素</w:t>
            </w:r>
          </w:p>
        </w:tc>
        <w:tc>
          <w:tcPr>
            <w:tcW w:w="4335" w:type="dxa"/>
            <w:tcBorders>
              <w:top w:val="single" w:color="auto" w:sz="4" w:space="0"/>
              <w:left w:val="single" w:color="auto" w:sz="4" w:space="0"/>
              <w:bottom w:val="single" w:color="auto" w:sz="4" w:space="0"/>
              <w:right w:val="single" w:color="auto" w:sz="4" w:space="0"/>
            </w:tcBorders>
            <w:noWrap w:val="0"/>
            <w:vAlign w:val="center"/>
          </w:tcPr>
          <w:p w14:paraId="065EA2C0">
            <w:pPr>
              <w:keepNext w:val="0"/>
              <w:keepLines w:val="0"/>
              <w:pageBreakBefore w:val="0"/>
              <w:widowControl w:val="0"/>
              <w:shd w:val="clear" w:color="auto" w:fill="auto"/>
              <w:spacing w:line="440" w:lineRule="exact"/>
              <w:jc w:val="center"/>
              <w:rPr>
                <w:rFonts w:hint="eastAsia" w:ascii="宋体" w:hAnsi="宋体" w:cs="宋体"/>
                <w:color w:val="auto"/>
                <w:highlight w:val="none"/>
              </w:rPr>
            </w:pPr>
            <w:r>
              <w:rPr>
                <w:rFonts w:hint="eastAsia" w:ascii="宋体" w:hAnsi="宋体" w:cs="宋体"/>
                <w:color w:val="auto"/>
                <w:highlight w:val="none"/>
              </w:rPr>
              <w:t>审查标准</w:t>
            </w:r>
          </w:p>
        </w:tc>
      </w:tr>
      <w:tr w14:paraId="567C5E7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8" w:hRule="atLeast"/>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4A2E6BCB">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Arial"/>
                <w:bCs/>
                <w:color w:val="auto"/>
                <w:highlight w:val="none"/>
              </w:rPr>
              <w:t>具有独立承担民事责任的能力</w:t>
            </w:r>
          </w:p>
        </w:tc>
        <w:tc>
          <w:tcPr>
            <w:tcW w:w="4335" w:type="dxa"/>
            <w:vMerge w:val="restart"/>
            <w:tcBorders>
              <w:top w:val="single" w:color="auto" w:sz="4" w:space="0"/>
              <w:left w:val="single" w:color="auto" w:sz="4" w:space="0"/>
              <w:bottom w:val="single" w:color="auto" w:sz="4" w:space="0"/>
              <w:right w:val="single" w:color="auto" w:sz="4" w:space="0"/>
            </w:tcBorders>
            <w:noWrap w:val="0"/>
            <w:vAlign w:val="center"/>
          </w:tcPr>
          <w:p w14:paraId="7A906FF1">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符合招标文件第11条“投标文件构成”的要求</w:t>
            </w:r>
          </w:p>
        </w:tc>
      </w:tr>
      <w:tr w14:paraId="57BA740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5A5E2621">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Arial"/>
                <w:bCs/>
                <w:color w:val="auto"/>
                <w:highlight w:val="none"/>
              </w:rPr>
              <w:t>具有良好的商业信誉和健全的财务会计制度</w:t>
            </w:r>
          </w:p>
        </w:tc>
        <w:tc>
          <w:tcPr>
            <w:tcW w:w="4335" w:type="dxa"/>
            <w:vMerge w:val="continue"/>
            <w:tcBorders>
              <w:top w:val="single" w:color="auto" w:sz="4" w:space="0"/>
              <w:left w:val="single" w:color="auto" w:sz="4" w:space="0"/>
              <w:bottom w:val="single" w:color="auto" w:sz="4" w:space="0"/>
              <w:right w:val="single" w:color="auto" w:sz="4" w:space="0"/>
            </w:tcBorders>
            <w:noWrap w:val="0"/>
            <w:vAlign w:val="center"/>
          </w:tcPr>
          <w:p w14:paraId="179CB56D">
            <w:pPr>
              <w:keepNext w:val="0"/>
              <w:keepLines w:val="0"/>
              <w:pageBreakBefore w:val="0"/>
              <w:widowControl w:val="0"/>
              <w:shd w:val="clear" w:color="auto" w:fill="auto"/>
              <w:spacing w:line="440" w:lineRule="exact"/>
              <w:jc w:val="left"/>
              <w:rPr>
                <w:rFonts w:hint="eastAsia" w:ascii="宋体" w:hAnsi="宋体" w:cs="宋体"/>
                <w:color w:val="auto"/>
                <w:highlight w:val="none"/>
              </w:rPr>
            </w:pPr>
          </w:p>
        </w:tc>
      </w:tr>
      <w:tr w14:paraId="2DAABAF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55CBC453">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Arial"/>
                <w:bCs/>
                <w:color w:val="auto"/>
                <w:highlight w:val="none"/>
              </w:rPr>
              <w:t>具有履行合同所必需的设备和专业技术能力</w:t>
            </w:r>
          </w:p>
        </w:tc>
        <w:tc>
          <w:tcPr>
            <w:tcW w:w="4335" w:type="dxa"/>
            <w:vMerge w:val="continue"/>
            <w:tcBorders>
              <w:top w:val="single" w:color="auto" w:sz="4" w:space="0"/>
              <w:left w:val="single" w:color="auto" w:sz="4" w:space="0"/>
              <w:bottom w:val="single" w:color="auto" w:sz="4" w:space="0"/>
              <w:right w:val="single" w:color="auto" w:sz="4" w:space="0"/>
            </w:tcBorders>
            <w:noWrap w:val="0"/>
            <w:vAlign w:val="center"/>
          </w:tcPr>
          <w:p w14:paraId="6907CEF8">
            <w:pPr>
              <w:keepNext w:val="0"/>
              <w:keepLines w:val="0"/>
              <w:pageBreakBefore w:val="0"/>
              <w:widowControl w:val="0"/>
              <w:shd w:val="clear" w:color="auto" w:fill="auto"/>
              <w:spacing w:line="440" w:lineRule="exact"/>
              <w:jc w:val="left"/>
              <w:rPr>
                <w:rFonts w:hint="eastAsia" w:ascii="宋体" w:hAnsi="宋体" w:cs="宋体"/>
                <w:color w:val="auto"/>
                <w:highlight w:val="none"/>
              </w:rPr>
            </w:pPr>
          </w:p>
        </w:tc>
      </w:tr>
      <w:tr w14:paraId="558C812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779F2005">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Arial"/>
                <w:bCs/>
                <w:color w:val="auto"/>
                <w:highlight w:val="none"/>
              </w:rPr>
              <w:t>有依法缴纳税收和社会保障资金的良好记录</w:t>
            </w:r>
          </w:p>
        </w:tc>
        <w:tc>
          <w:tcPr>
            <w:tcW w:w="4335" w:type="dxa"/>
            <w:vMerge w:val="continue"/>
            <w:tcBorders>
              <w:top w:val="single" w:color="auto" w:sz="4" w:space="0"/>
              <w:left w:val="single" w:color="auto" w:sz="4" w:space="0"/>
              <w:bottom w:val="single" w:color="auto" w:sz="4" w:space="0"/>
              <w:right w:val="single" w:color="auto" w:sz="4" w:space="0"/>
            </w:tcBorders>
            <w:noWrap w:val="0"/>
            <w:vAlign w:val="center"/>
          </w:tcPr>
          <w:p w14:paraId="4A177993">
            <w:pPr>
              <w:keepNext w:val="0"/>
              <w:keepLines w:val="0"/>
              <w:pageBreakBefore w:val="0"/>
              <w:widowControl w:val="0"/>
              <w:shd w:val="clear" w:color="auto" w:fill="auto"/>
              <w:spacing w:line="440" w:lineRule="exact"/>
              <w:jc w:val="left"/>
              <w:rPr>
                <w:rFonts w:hint="eastAsia" w:ascii="宋体" w:hAnsi="宋体" w:cs="宋体"/>
                <w:color w:val="auto"/>
                <w:highlight w:val="none"/>
              </w:rPr>
            </w:pPr>
          </w:p>
        </w:tc>
      </w:tr>
      <w:tr w14:paraId="6908036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312" w:hRule="atLeast"/>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54A43897">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无重大违法行为声明</w:t>
            </w:r>
          </w:p>
        </w:tc>
        <w:tc>
          <w:tcPr>
            <w:tcW w:w="4335" w:type="dxa"/>
            <w:vMerge w:val="continue"/>
            <w:tcBorders>
              <w:top w:val="single" w:color="auto" w:sz="4" w:space="0"/>
              <w:left w:val="single" w:color="auto" w:sz="4" w:space="0"/>
              <w:bottom w:val="single" w:color="auto" w:sz="4" w:space="0"/>
              <w:right w:val="single" w:color="auto" w:sz="4" w:space="0"/>
            </w:tcBorders>
            <w:noWrap w:val="0"/>
            <w:vAlign w:val="center"/>
          </w:tcPr>
          <w:p w14:paraId="3B917635">
            <w:pPr>
              <w:keepNext w:val="0"/>
              <w:keepLines w:val="0"/>
              <w:pageBreakBefore w:val="0"/>
              <w:widowControl w:val="0"/>
              <w:shd w:val="clear" w:color="auto" w:fill="auto"/>
              <w:spacing w:line="440" w:lineRule="exact"/>
              <w:jc w:val="left"/>
              <w:rPr>
                <w:rFonts w:hint="eastAsia" w:ascii="宋体" w:hAnsi="宋体" w:cs="宋体"/>
                <w:color w:val="auto"/>
                <w:highlight w:val="none"/>
              </w:rPr>
            </w:pPr>
          </w:p>
        </w:tc>
      </w:tr>
      <w:tr w14:paraId="738BD88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6D00EECE">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法律、行政法规规定的其他条件</w:t>
            </w:r>
          </w:p>
        </w:tc>
        <w:tc>
          <w:tcPr>
            <w:tcW w:w="4335" w:type="dxa"/>
            <w:vMerge w:val="continue"/>
            <w:tcBorders>
              <w:top w:val="single" w:color="auto" w:sz="4" w:space="0"/>
              <w:left w:val="single" w:color="auto" w:sz="4" w:space="0"/>
              <w:bottom w:val="single" w:color="auto" w:sz="4" w:space="0"/>
              <w:right w:val="single" w:color="auto" w:sz="4" w:space="0"/>
            </w:tcBorders>
            <w:noWrap w:val="0"/>
            <w:vAlign w:val="center"/>
          </w:tcPr>
          <w:p w14:paraId="230B9329">
            <w:pPr>
              <w:keepNext w:val="0"/>
              <w:keepLines w:val="0"/>
              <w:pageBreakBefore w:val="0"/>
              <w:widowControl w:val="0"/>
              <w:shd w:val="clear" w:color="auto" w:fill="auto"/>
              <w:spacing w:line="440" w:lineRule="exact"/>
              <w:jc w:val="left"/>
              <w:rPr>
                <w:rFonts w:hint="eastAsia" w:ascii="宋体" w:hAnsi="宋体" w:cs="宋体"/>
                <w:color w:val="auto"/>
                <w:highlight w:val="none"/>
              </w:rPr>
            </w:pPr>
          </w:p>
        </w:tc>
      </w:tr>
      <w:tr w14:paraId="43BEE34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38A862D1">
            <w:pPr>
              <w:keepNext w:val="0"/>
              <w:keepLines w:val="0"/>
              <w:pageBreakBefore w:val="0"/>
              <w:widowControl w:val="0"/>
              <w:shd w:val="clear" w:color="auto" w:fill="auto"/>
              <w:spacing w:line="440" w:lineRule="exact"/>
              <w:jc w:val="left"/>
              <w:rPr>
                <w:rFonts w:ascii="宋体" w:hAnsi="宋体" w:cs="宋体"/>
                <w:color w:val="auto"/>
                <w:highlight w:val="none"/>
              </w:rPr>
            </w:pPr>
            <w:r>
              <w:rPr>
                <w:rFonts w:hint="eastAsia" w:ascii="宋体" w:hAnsi="宋体" w:cs="宋体"/>
                <w:color w:val="auto"/>
                <w:highlight w:val="none"/>
              </w:rPr>
              <w:t>信用信息</w:t>
            </w:r>
          </w:p>
        </w:tc>
        <w:tc>
          <w:tcPr>
            <w:tcW w:w="4335" w:type="dxa"/>
            <w:vMerge w:val="continue"/>
            <w:tcBorders>
              <w:top w:val="single" w:color="auto" w:sz="4" w:space="0"/>
              <w:left w:val="single" w:color="auto" w:sz="4" w:space="0"/>
              <w:bottom w:val="single" w:color="auto" w:sz="4" w:space="0"/>
              <w:right w:val="single" w:color="auto" w:sz="4" w:space="0"/>
            </w:tcBorders>
            <w:noWrap w:val="0"/>
            <w:vAlign w:val="center"/>
          </w:tcPr>
          <w:p w14:paraId="63F3A7DB">
            <w:pPr>
              <w:keepNext w:val="0"/>
              <w:keepLines w:val="0"/>
              <w:pageBreakBefore w:val="0"/>
              <w:widowControl w:val="0"/>
              <w:shd w:val="clear" w:color="auto" w:fill="auto"/>
              <w:spacing w:line="440" w:lineRule="exact"/>
              <w:jc w:val="left"/>
              <w:rPr>
                <w:rFonts w:hint="eastAsia" w:ascii="宋体" w:hAnsi="宋体" w:cs="宋体"/>
                <w:color w:val="auto"/>
                <w:highlight w:val="none"/>
              </w:rPr>
            </w:pPr>
          </w:p>
        </w:tc>
      </w:tr>
      <w:tr w14:paraId="4E13C59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6787EBD7">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投标人的关联性要求</w:t>
            </w:r>
          </w:p>
        </w:tc>
        <w:tc>
          <w:tcPr>
            <w:tcW w:w="4335" w:type="dxa"/>
            <w:tcBorders>
              <w:top w:val="single" w:color="auto" w:sz="4" w:space="0"/>
              <w:left w:val="single" w:color="auto" w:sz="4" w:space="0"/>
              <w:bottom w:val="single" w:color="auto" w:sz="4" w:space="0"/>
              <w:right w:val="single" w:color="auto" w:sz="4" w:space="0"/>
            </w:tcBorders>
            <w:noWrap w:val="0"/>
            <w:vAlign w:val="center"/>
          </w:tcPr>
          <w:p w14:paraId="4B8B6DAA">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635E0F6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504103E6">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未提供进口产品（不允许采购进口产品时适用）</w:t>
            </w:r>
          </w:p>
        </w:tc>
        <w:tc>
          <w:tcPr>
            <w:tcW w:w="4335" w:type="dxa"/>
            <w:tcBorders>
              <w:top w:val="single" w:color="auto" w:sz="4" w:space="0"/>
              <w:left w:val="single" w:color="auto" w:sz="4" w:space="0"/>
              <w:bottom w:val="single" w:color="auto" w:sz="4" w:space="0"/>
              <w:right w:val="single" w:color="auto" w:sz="4" w:space="0"/>
            </w:tcBorders>
            <w:noWrap w:val="0"/>
            <w:vAlign w:val="center"/>
          </w:tcPr>
          <w:p w14:paraId="054E2912">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226223E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3A5872D2">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符合联合体规定</w:t>
            </w:r>
          </w:p>
        </w:tc>
        <w:tc>
          <w:tcPr>
            <w:tcW w:w="4335" w:type="dxa"/>
            <w:tcBorders>
              <w:top w:val="single" w:color="auto" w:sz="4" w:space="0"/>
              <w:left w:val="single" w:color="auto" w:sz="4" w:space="0"/>
              <w:bottom w:val="single" w:color="auto" w:sz="4" w:space="0"/>
              <w:right w:val="single" w:color="auto" w:sz="4" w:space="0"/>
            </w:tcBorders>
            <w:noWrap w:val="0"/>
            <w:vAlign w:val="center"/>
          </w:tcPr>
          <w:p w14:paraId="3BF74F57">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6F2C110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828" w:type="dxa"/>
            <w:tcBorders>
              <w:top w:val="single" w:color="auto" w:sz="4" w:space="0"/>
              <w:left w:val="single" w:color="auto" w:sz="4" w:space="0"/>
              <w:bottom w:val="single" w:color="auto" w:sz="4" w:space="0"/>
              <w:right w:val="single" w:color="auto" w:sz="4" w:space="0"/>
            </w:tcBorders>
            <w:noWrap w:val="0"/>
            <w:vAlign w:val="center"/>
          </w:tcPr>
          <w:p w14:paraId="7AFB6E53">
            <w:pPr>
              <w:keepNext w:val="0"/>
              <w:keepLines w:val="0"/>
              <w:pageBreakBefore w:val="0"/>
              <w:widowControl w:val="0"/>
              <w:shd w:val="clear" w:color="auto" w:fill="auto"/>
              <w:spacing w:line="440" w:lineRule="exact"/>
              <w:jc w:val="left"/>
              <w:rPr>
                <w:rFonts w:ascii="宋体" w:hAnsi="宋体" w:cs="宋体"/>
                <w:color w:val="auto"/>
                <w:highlight w:val="none"/>
              </w:rPr>
            </w:pPr>
            <w:r>
              <w:rPr>
                <w:rFonts w:hint="eastAsia" w:ascii="宋体" w:hAnsi="宋体" w:cs="宋体"/>
                <w:color w:val="auto"/>
                <w:highlight w:val="none"/>
              </w:rPr>
              <w:t>特定资格要求</w:t>
            </w:r>
          </w:p>
        </w:tc>
        <w:tc>
          <w:tcPr>
            <w:tcW w:w="4335" w:type="dxa"/>
            <w:tcBorders>
              <w:top w:val="single" w:color="auto" w:sz="4" w:space="0"/>
              <w:left w:val="single" w:color="auto" w:sz="4" w:space="0"/>
              <w:bottom w:val="single" w:color="auto" w:sz="4" w:space="0"/>
              <w:right w:val="single" w:color="auto" w:sz="4" w:space="0"/>
            </w:tcBorders>
            <w:noWrap w:val="0"/>
            <w:vAlign w:val="center"/>
          </w:tcPr>
          <w:p w14:paraId="0AC1DD7F">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符合招标文件规定</w:t>
            </w:r>
          </w:p>
        </w:tc>
      </w:tr>
    </w:tbl>
    <w:p w14:paraId="1D5477AA">
      <w:pPr>
        <w:keepNext w:val="0"/>
        <w:keepLines w:val="0"/>
        <w:pageBreakBefore w:val="0"/>
        <w:widowControl w:val="0"/>
        <w:shd w:val="clear" w:color="auto" w:fill="auto"/>
        <w:spacing w:before="156" w:after="156" w:line="440" w:lineRule="exact"/>
        <w:ind w:firstLine="643"/>
        <w:outlineLvl w:val="1"/>
        <w:rPr>
          <w:rFonts w:hint="eastAsia"/>
          <w:b/>
          <w:color w:val="auto"/>
          <w:sz w:val="32"/>
          <w:szCs w:val="32"/>
          <w:highlight w:val="none"/>
        </w:rPr>
      </w:pPr>
      <w:r>
        <w:rPr>
          <w:rFonts w:hint="eastAsia"/>
          <w:b/>
          <w:color w:val="auto"/>
          <w:sz w:val="32"/>
          <w:szCs w:val="32"/>
          <w:highlight w:val="none"/>
        </w:rPr>
        <w:t>二、符合性审查</w:t>
      </w:r>
    </w:p>
    <w:p w14:paraId="25FC0C59">
      <w:pPr>
        <w:keepNext w:val="0"/>
        <w:keepLines w:val="0"/>
        <w:pageBreakBefore w:val="0"/>
        <w:widowControl w:val="0"/>
        <w:shd w:val="clear" w:color="auto" w:fill="auto"/>
        <w:spacing w:line="440" w:lineRule="exact"/>
        <w:ind w:firstLine="420"/>
        <w:rPr>
          <w:rFonts w:hint="eastAsia"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7D39AA2A">
      <w:pPr>
        <w:keepNext w:val="0"/>
        <w:keepLines w:val="0"/>
        <w:pageBreakBefore w:val="0"/>
        <w:widowControl w:val="0"/>
        <w:shd w:val="clear" w:color="auto" w:fill="auto"/>
        <w:spacing w:line="440" w:lineRule="exact"/>
        <w:ind w:firstLine="420"/>
        <w:rPr>
          <w:rFonts w:hint="eastAsia" w:ascii="宋体" w:hAnsi="宋体" w:cs="宋体"/>
          <w:color w:val="auto"/>
          <w:sz w:val="24"/>
          <w:highlight w:val="none"/>
        </w:rPr>
      </w:pPr>
      <w:r>
        <w:rPr>
          <w:rFonts w:hint="eastAsia" w:ascii="宋体" w:hAnsi="宋体" w:cs="宋体"/>
          <w:color w:val="auto"/>
          <w:sz w:val="24"/>
          <w:highlight w:val="none"/>
        </w:rPr>
        <w:t>未通过审查的为无效标，不再参与评审。</w:t>
      </w:r>
    </w:p>
    <w:tbl>
      <w:tblPr>
        <w:tblStyle w:val="31"/>
        <w:tblW w:w="9172"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140"/>
        <w:gridCol w:w="5032"/>
      </w:tblGrid>
      <w:tr w14:paraId="5677B98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140" w:type="dxa"/>
            <w:tcBorders>
              <w:top w:val="single" w:color="auto" w:sz="4" w:space="0"/>
              <w:left w:val="single" w:color="auto" w:sz="4" w:space="0"/>
              <w:bottom w:val="single" w:color="auto" w:sz="4" w:space="0"/>
              <w:right w:val="single" w:color="auto" w:sz="4" w:space="0"/>
            </w:tcBorders>
            <w:noWrap w:val="0"/>
            <w:vAlign w:val="center"/>
          </w:tcPr>
          <w:p w14:paraId="6389D842">
            <w:pPr>
              <w:keepNext w:val="0"/>
              <w:keepLines w:val="0"/>
              <w:pageBreakBefore w:val="0"/>
              <w:widowControl w:val="0"/>
              <w:shd w:val="clear" w:color="auto" w:fill="auto"/>
              <w:spacing w:line="440" w:lineRule="exact"/>
              <w:jc w:val="center"/>
              <w:rPr>
                <w:rFonts w:hint="eastAsia" w:ascii="宋体" w:hAnsi="宋体" w:cs="宋体"/>
                <w:color w:val="auto"/>
                <w:highlight w:val="none"/>
              </w:rPr>
            </w:pPr>
            <w:r>
              <w:rPr>
                <w:rFonts w:hint="eastAsia" w:ascii="宋体" w:hAnsi="宋体" w:cs="宋体"/>
                <w:color w:val="auto"/>
                <w:highlight w:val="none"/>
              </w:rPr>
              <w:t>符合性审查因素</w:t>
            </w:r>
          </w:p>
        </w:tc>
        <w:tc>
          <w:tcPr>
            <w:tcW w:w="5032" w:type="dxa"/>
            <w:tcBorders>
              <w:top w:val="single" w:color="auto" w:sz="4" w:space="0"/>
              <w:left w:val="single" w:color="auto" w:sz="4" w:space="0"/>
              <w:bottom w:val="single" w:color="auto" w:sz="4" w:space="0"/>
              <w:right w:val="single" w:color="auto" w:sz="4" w:space="0"/>
            </w:tcBorders>
            <w:noWrap w:val="0"/>
            <w:vAlign w:val="center"/>
          </w:tcPr>
          <w:p w14:paraId="1DF113B1">
            <w:pPr>
              <w:keepNext w:val="0"/>
              <w:keepLines w:val="0"/>
              <w:pageBreakBefore w:val="0"/>
              <w:widowControl w:val="0"/>
              <w:shd w:val="clear" w:color="auto" w:fill="auto"/>
              <w:spacing w:line="440" w:lineRule="exact"/>
              <w:jc w:val="center"/>
              <w:rPr>
                <w:rFonts w:hint="eastAsia" w:ascii="宋体" w:hAnsi="宋体" w:cs="宋体"/>
                <w:color w:val="auto"/>
                <w:highlight w:val="none"/>
              </w:rPr>
            </w:pPr>
            <w:r>
              <w:rPr>
                <w:rFonts w:hint="eastAsia" w:ascii="宋体" w:hAnsi="宋体" w:cs="宋体"/>
                <w:color w:val="auto"/>
                <w:highlight w:val="none"/>
              </w:rPr>
              <w:t>审查标准</w:t>
            </w:r>
          </w:p>
        </w:tc>
      </w:tr>
      <w:tr w14:paraId="2B2E183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jc w:val="center"/>
        </w:trPr>
        <w:tc>
          <w:tcPr>
            <w:tcW w:w="4140" w:type="dxa"/>
            <w:tcBorders>
              <w:top w:val="single" w:color="auto" w:sz="4" w:space="0"/>
              <w:left w:val="single" w:color="auto" w:sz="4" w:space="0"/>
              <w:bottom w:val="single" w:color="auto" w:sz="4" w:space="0"/>
              <w:right w:val="single" w:color="auto" w:sz="4" w:space="0"/>
            </w:tcBorders>
            <w:noWrap w:val="0"/>
            <w:vAlign w:val="center"/>
          </w:tcPr>
          <w:p w14:paraId="3425CECE">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投标函</w:t>
            </w:r>
          </w:p>
        </w:tc>
        <w:tc>
          <w:tcPr>
            <w:tcW w:w="5032" w:type="dxa"/>
            <w:tcBorders>
              <w:top w:val="single" w:color="auto" w:sz="4" w:space="0"/>
              <w:left w:val="single" w:color="auto" w:sz="4" w:space="0"/>
              <w:bottom w:val="single" w:color="auto" w:sz="4" w:space="0"/>
              <w:right w:val="single" w:color="auto" w:sz="4" w:space="0"/>
            </w:tcBorders>
            <w:noWrap w:val="0"/>
            <w:vAlign w:val="center"/>
          </w:tcPr>
          <w:p w14:paraId="3180F617">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符合招标文件的要求</w:t>
            </w:r>
          </w:p>
        </w:tc>
      </w:tr>
      <w:tr w14:paraId="1A5DE08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jc w:val="center"/>
        </w:trPr>
        <w:tc>
          <w:tcPr>
            <w:tcW w:w="4140" w:type="dxa"/>
            <w:tcBorders>
              <w:top w:val="single" w:color="auto" w:sz="4" w:space="0"/>
              <w:left w:val="single" w:color="auto" w:sz="4" w:space="0"/>
              <w:bottom w:val="single" w:color="auto" w:sz="4" w:space="0"/>
              <w:right w:val="single" w:color="auto" w:sz="4" w:space="0"/>
            </w:tcBorders>
            <w:noWrap w:val="0"/>
            <w:vAlign w:val="center"/>
          </w:tcPr>
          <w:p w14:paraId="46AE1D7E">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法定代表人身份证明或授权委托书</w:t>
            </w:r>
          </w:p>
        </w:tc>
        <w:tc>
          <w:tcPr>
            <w:tcW w:w="5032" w:type="dxa"/>
            <w:tcBorders>
              <w:top w:val="single" w:color="auto" w:sz="4" w:space="0"/>
              <w:left w:val="single" w:color="auto" w:sz="4" w:space="0"/>
              <w:bottom w:val="single" w:color="auto" w:sz="4" w:space="0"/>
              <w:right w:val="single" w:color="auto" w:sz="4" w:space="0"/>
            </w:tcBorders>
            <w:noWrap w:val="0"/>
            <w:vAlign w:val="center"/>
          </w:tcPr>
          <w:p w14:paraId="54F8A948">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符合招标文件的要求</w:t>
            </w:r>
          </w:p>
        </w:tc>
      </w:tr>
      <w:tr w14:paraId="65CA42E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jc w:val="center"/>
        </w:trPr>
        <w:tc>
          <w:tcPr>
            <w:tcW w:w="4140" w:type="dxa"/>
            <w:tcBorders>
              <w:top w:val="single" w:color="auto" w:sz="4" w:space="0"/>
              <w:left w:val="single" w:color="auto" w:sz="4" w:space="0"/>
              <w:bottom w:val="single" w:color="auto" w:sz="4" w:space="0"/>
              <w:right w:val="single" w:color="auto" w:sz="4" w:space="0"/>
            </w:tcBorders>
            <w:noWrap w:val="0"/>
            <w:vAlign w:val="center"/>
          </w:tcPr>
          <w:p w14:paraId="4AF7ADF9">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签署和盖章符合要求</w:t>
            </w:r>
          </w:p>
        </w:tc>
        <w:tc>
          <w:tcPr>
            <w:tcW w:w="5032" w:type="dxa"/>
            <w:tcBorders>
              <w:top w:val="single" w:color="auto" w:sz="4" w:space="0"/>
              <w:left w:val="single" w:color="auto" w:sz="4" w:space="0"/>
              <w:bottom w:val="single" w:color="auto" w:sz="4" w:space="0"/>
              <w:right w:val="single" w:color="auto" w:sz="4" w:space="0"/>
            </w:tcBorders>
            <w:noWrap w:val="0"/>
            <w:vAlign w:val="center"/>
          </w:tcPr>
          <w:p w14:paraId="7BE15775">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6554741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140" w:type="dxa"/>
            <w:tcBorders>
              <w:top w:val="single" w:color="auto" w:sz="4" w:space="0"/>
              <w:left w:val="single" w:color="auto" w:sz="4" w:space="0"/>
              <w:bottom w:val="single" w:color="auto" w:sz="4" w:space="0"/>
              <w:right w:val="single" w:color="auto" w:sz="4" w:space="0"/>
            </w:tcBorders>
            <w:noWrap w:val="0"/>
            <w:vAlign w:val="center"/>
          </w:tcPr>
          <w:p w14:paraId="12F22863">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p>
        </w:tc>
        <w:tc>
          <w:tcPr>
            <w:tcW w:w="5032" w:type="dxa"/>
            <w:tcBorders>
              <w:top w:val="single" w:color="auto" w:sz="4" w:space="0"/>
              <w:left w:val="single" w:color="auto" w:sz="4" w:space="0"/>
              <w:bottom w:val="single" w:color="auto" w:sz="4" w:space="0"/>
              <w:right w:val="single" w:color="auto" w:sz="4" w:space="0"/>
            </w:tcBorders>
            <w:noWrap w:val="0"/>
            <w:vAlign w:val="center"/>
          </w:tcPr>
          <w:p w14:paraId="0E536DE1">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格式、填写要求符合招标文件规定（报价未超过预算或最高限价）</w:t>
            </w:r>
          </w:p>
        </w:tc>
      </w:tr>
      <w:tr w14:paraId="0F298C0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140" w:type="dxa"/>
            <w:tcBorders>
              <w:top w:val="single" w:color="auto" w:sz="4" w:space="0"/>
              <w:left w:val="single" w:color="auto" w:sz="4" w:space="0"/>
              <w:bottom w:val="single" w:color="auto" w:sz="4" w:space="0"/>
              <w:right w:val="single" w:color="auto" w:sz="4" w:space="0"/>
            </w:tcBorders>
            <w:noWrap w:val="0"/>
            <w:vAlign w:val="center"/>
          </w:tcPr>
          <w:p w14:paraId="73AB5A22">
            <w:pPr>
              <w:keepNext w:val="0"/>
              <w:keepLines w:val="0"/>
              <w:pageBreakBefore w:val="0"/>
              <w:widowControl w:val="0"/>
              <w:shd w:val="clear" w:color="auto" w:fill="auto"/>
              <w:spacing w:line="440" w:lineRule="exact"/>
              <w:jc w:val="left"/>
              <w:rPr>
                <w:rFonts w:ascii="宋体" w:hAnsi="宋体" w:cs="宋体"/>
                <w:color w:val="auto"/>
                <w:highlight w:val="none"/>
              </w:rPr>
            </w:pPr>
            <w:r>
              <w:rPr>
                <w:rFonts w:hint="eastAsia" w:ascii="宋体" w:hAnsi="宋体" w:cs="宋体"/>
                <w:color w:val="auto"/>
                <w:highlight w:val="none"/>
              </w:rPr>
              <w:t>投标文件对招标文件的实质性条款的响应性</w:t>
            </w:r>
          </w:p>
        </w:tc>
        <w:tc>
          <w:tcPr>
            <w:tcW w:w="5032" w:type="dxa"/>
            <w:tcBorders>
              <w:top w:val="single" w:color="auto" w:sz="4" w:space="0"/>
              <w:left w:val="single" w:color="auto" w:sz="4" w:space="0"/>
              <w:bottom w:val="single" w:color="auto" w:sz="4" w:space="0"/>
              <w:right w:val="single" w:color="auto" w:sz="4" w:space="0"/>
            </w:tcBorders>
            <w:noWrap w:val="0"/>
            <w:vAlign w:val="center"/>
          </w:tcPr>
          <w:p w14:paraId="46D60552">
            <w:pPr>
              <w:keepNext w:val="0"/>
              <w:keepLines w:val="0"/>
              <w:pageBreakBefore w:val="0"/>
              <w:widowControl w:val="0"/>
              <w:shd w:val="clear" w:color="auto" w:fill="auto"/>
              <w:spacing w:line="440" w:lineRule="exact"/>
              <w:jc w:val="left"/>
              <w:rPr>
                <w:rFonts w:hint="eastAsia" w:ascii="宋体" w:hAnsi="宋体" w:cs="宋体"/>
                <w:color w:val="auto"/>
                <w:highlight w:val="none"/>
              </w:rPr>
            </w:pPr>
            <w:r>
              <w:rPr>
                <w:rFonts w:hint="eastAsia" w:ascii="宋体" w:hAnsi="宋体" w:cs="宋体"/>
                <w:color w:val="auto"/>
                <w:highlight w:val="none"/>
              </w:rPr>
              <w:t>符合招标文件规定</w:t>
            </w:r>
          </w:p>
        </w:tc>
      </w:tr>
    </w:tbl>
    <w:p w14:paraId="46E7A4A0">
      <w:pPr>
        <w:keepNext w:val="0"/>
        <w:keepLines w:val="0"/>
        <w:pageBreakBefore w:val="0"/>
        <w:widowControl w:val="0"/>
        <w:shd w:val="clear" w:color="auto" w:fill="auto"/>
        <w:spacing w:line="440" w:lineRule="exact"/>
        <w:outlineLvl w:val="1"/>
        <w:rPr>
          <w:rFonts w:hint="eastAsia" w:ascii="宋体" w:hAnsi="宋体" w:cs="宋体"/>
          <w:b/>
          <w:color w:val="auto"/>
          <w:sz w:val="32"/>
          <w:szCs w:val="32"/>
          <w:highlight w:val="none"/>
        </w:rPr>
      </w:pPr>
      <w:r>
        <w:rPr>
          <w:rFonts w:hint="eastAsia" w:ascii="宋体" w:hAnsi="宋体" w:cs="宋体"/>
          <w:color w:val="auto"/>
          <w:sz w:val="20"/>
          <w:highlight w:val="none"/>
        </w:rPr>
        <w:t xml:space="preserve">  </w:t>
      </w:r>
      <w:bookmarkStart w:id="67" w:name="_Toc11959"/>
      <w:r>
        <w:rPr>
          <w:rFonts w:hint="eastAsia" w:ascii="宋体" w:hAnsi="宋体" w:cs="宋体"/>
          <w:color w:val="auto"/>
          <w:sz w:val="20"/>
          <w:highlight w:val="none"/>
        </w:rPr>
        <w:t xml:space="preserve">   </w:t>
      </w:r>
      <w:r>
        <w:rPr>
          <w:rFonts w:hint="eastAsia" w:ascii="宋体" w:hAnsi="宋体" w:cs="宋体"/>
          <w:b/>
          <w:color w:val="auto"/>
          <w:sz w:val="32"/>
          <w:szCs w:val="32"/>
          <w:highlight w:val="none"/>
        </w:rPr>
        <w:t>三、评分办法—综合评分法</w:t>
      </w:r>
      <w:bookmarkEnd w:id="67"/>
    </w:p>
    <w:p w14:paraId="1B4BD4B1">
      <w:pPr>
        <w:keepNext w:val="0"/>
        <w:keepLines w:val="0"/>
        <w:pageBreakBefore w:val="0"/>
        <w:widowControl w:val="0"/>
        <w:shd w:val="clear" w:color="auto" w:fill="auto"/>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p>
    <w:p w14:paraId="64CFA6E1">
      <w:pPr>
        <w:keepNext w:val="0"/>
        <w:keepLines w:val="0"/>
        <w:pageBreakBefore w:val="0"/>
        <w:widowControl w:val="0"/>
        <w:shd w:val="clear" w:color="auto" w:fill="auto"/>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评标委员会根据评审后投标人排序推荐中标候选人。投标文件满足招标文件全部实质性要求，且评审后排序第一的投标人为第一中标候选人，依次类推。</w:t>
      </w:r>
    </w:p>
    <w:p w14:paraId="40A780D0">
      <w:pPr>
        <w:keepNext w:val="0"/>
        <w:keepLines w:val="0"/>
        <w:pageBreakBefore w:val="0"/>
        <w:widowControl w:val="0"/>
        <w:shd w:val="clear" w:color="auto" w:fill="auto"/>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p>
    <w:p w14:paraId="58D3327D">
      <w:pPr>
        <w:keepNext w:val="0"/>
        <w:keepLines w:val="0"/>
        <w:pageBreakBefore w:val="0"/>
        <w:widowControl w:val="0"/>
        <w:numPr>
          <w:ilvl w:val="0"/>
          <w:numId w:val="9"/>
        </w:numPr>
        <w:shd w:val="clear" w:color="auto" w:fill="auto"/>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详细评审。评标委员会按照招标文件规定的评分标准，对各投标文件进行详细评审打分。评标委员会组长对各评审专家的打分情况进行复核无误后汇总，形成评审报告。</w:t>
      </w:r>
    </w:p>
    <w:p w14:paraId="3D8C916C">
      <w:pPr>
        <w:keepNext w:val="0"/>
        <w:keepLines w:val="0"/>
        <w:pageBreakBefore w:val="0"/>
        <w:widowControl w:val="0"/>
        <w:shd w:val="clear" w:color="auto" w:fill="auto"/>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3、评标结果。评标委员会按照本办法规定推荐中标候选人，并形成评标报告。</w:t>
      </w:r>
    </w:p>
    <w:p w14:paraId="51E69816">
      <w:pPr>
        <w:shd w:val="clear" w:color="auto" w:fill="auto"/>
        <w:spacing w:line="360" w:lineRule="auto"/>
        <w:ind w:right="-10"/>
        <w:rPr>
          <w:rFonts w:hint="eastAsia" w:ascii="宋体" w:hAnsi="宋体" w:eastAsia="宋体" w:cs="宋体"/>
          <w:color w:val="auto"/>
          <w:sz w:val="4"/>
          <w:szCs w:val="2"/>
          <w:highlight w:val="none"/>
        </w:rPr>
      </w:pPr>
    </w:p>
    <w:tbl>
      <w:tblPr>
        <w:tblStyle w:val="31"/>
        <w:tblW w:w="95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9"/>
        <w:gridCol w:w="7128"/>
        <w:gridCol w:w="1212"/>
      </w:tblGrid>
      <w:tr w14:paraId="097C9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249" w:type="dxa"/>
            <w:noWrap w:val="0"/>
            <w:vAlign w:val="center"/>
          </w:tcPr>
          <w:p w14:paraId="5F5FC626">
            <w:pPr>
              <w:spacing w:line="360" w:lineRule="auto"/>
              <w:jc w:val="center"/>
              <w:rPr>
                <w:rFonts w:ascii="宋体" w:hAnsi="宋体" w:cs="宋体"/>
                <w:b/>
                <w:color w:val="auto"/>
                <w:sz w:val="24"/>
                <w:szCs w:val="24"/>
                <w:highlight w:val="none"/>
                <w:shd w:val="clear" w:color="auto" w:fill="auto"/>
              </w:rPr>
            </w:pPr>
            <w:r>
              <w:rPr>
                <w:rFonts w:hint="eastAsia" w:ascii="宋体" w:hAnsi="宋体" w:cs="宋体"/>
                <w:b/>
                <w:color w:val="auto"/>
                <w:sz w:val="24"/>
                <w:szCs w:val="24"/>
                <w:highlight w:val="none"/>
                <w:shd w:val="clear" w:color="auto" w:fill="auto"/>
              </w:rPr>
              <w:t>评分因素</w:t>
            </w:r>
          </w:p>
        </w:tc>
        <w:tc>
          <w:tcPr>
            <w:tcW w:w="7128" w:type="dxa"/>
            <w:noWrap/>
            <w:vAlign w:val="center"/>
          </w:tcPr>
          <w:p w14:paraId="1C69F94A">
            <w:pPr>
              <w:spacing w:line="360" w:lineRule="auto"/>
              <w:jc w:val="center"/>
              <w:rPr>
                <w:rFonts w:ascii="宋体" w:hAnsi="宋体" w:cs="宋体"/>
                <w:b/>
                <w:color w:val="auto"/>
                <w:sz w:val="24"/>
                <w:szCs w:val="24"/>
                <w:highlight w:val="none"/>
                <w:shd w:val="clear" w:color="auto" w:fill="auto"/>
              </w:rPr>
            </w:pPr>
            <w:r>
              <w:rPr>
                <w:rFonts w:hint="eastAsia" w:ascii="宋体" w:hAnsi="宋体" w:cs="宋体"/>
                <w:b/>
                <w:color w:val="auto"/>
                <w:sz w:val="24"/>
                <w:szCs w:val="24"/>
                <w:highlight w:val="none"/>
                <w:shd w:val="clear" w:color="auto" w:fill="auto"/>
              </w:rPr>
              <w:t>评分标准</w:t>
            </w:r>
          </w:p>
        </w:tc>
        <w:tc>
          <w:tcPr>
            <w:tcW w:w="1212" w:type="dxa"/>
            <w:noWrap/>
            <w:vAlign w:val="center"/>
          </w:tcPr>
          <w:p w14:paraId="5E34B1BE">
            <w:pPr>
              <w:spacing w:line="360" w:lineRule="auto"/>
              <w:jc w:val="center"/>
              <w:rPr>
                <w:rFonts w:ascii="宋体" w:hAnsi="宋体" w:cs="宋体"/>
                <w:b/>
                <w:color w:val="auto"/>
                <w:sz w:val="24"/>
                <w:szCs w:val="24"/>
                <w:highlight w:val="none"/>
                <w:shd w:val="clear" w:color="auto" w:fill="auto"/>
              </w:rPr>
            </w:pPr>
            <w:r>
              <w:rPr>
                <w:rFonts w:hint="eastAsia" w:ascii="宋体" w:hAnsi="宋体" w:cs="宋体"/>
                <w:b/>
                <w:color w:val="auto"/>
                <w:sz w:val="24"/>
                <w:szCs w:val="24"/>
                <w:highlight w:val="none"/>
                <w:shd w:val="clear" w:color="auto" w:fill="auto"/>
              </w:rPr>
              <w:t>满分分值</w:t>
            </w:r>
          </w:p>
        </w:tc>
      </w:tr>
      <w:tr w14:paraId="5E7C7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1249" w:type="dxa"/>
            <w:noWrap w:val="0"/>
            <w:vAlign w:val="center"/>
          </w:tcPr>
          <w:p w14:paraId="698BB96E">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投标报价</w:t>
            </w:r>
          </w:p>
        </w:tc>
        <w:tc>
          <w:tcPr>
            <w:tcW w:w="7128" w:type="dxa"/>
            <w:noWrap w:val="0"/>
            <w:vAlign w:val="center"/>
          </w:tcPr>
          <w:p w14:paraId="5A133897">
            <w:pPr>
              <w:keepNext w:val="0"/>
              <w:keepLines w:val="0"/>
              <w:pageBreakBefore w:val="0"/>
              <w:widowControl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1.评标总价是指通过“投标文件初审”的投标人的经商务性评审（修正、小微企业扣除等）后的总价。</w:t>
            </w:r>
          </w:p>
          <w:p w14:paraId="71521767">
            <w:pPr>
              <w:keepNext w:val="0"/>
              <w:keepLines w:val="0"/>
              <w:pageBreakBefore w:val="0"/>
              <w:widowControl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2.评标基准价=评标总价中的最低总价。</w:t>
            </w:r>
          </w:p>
          <w:p w14:paraId="6A27D17E">
            <w:pPr>
              <w:keepNext w:val="0"/>
              <w:keepLines w:val="0"/>
              <w:pageBreakBefore w:val="0"/>
              <w:widowControl w:val="0"/>
              <w:spacing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3.当投标人的评标总价等于评标基准价的得30分，其他投标人的价格分按照下列公式计算：评标总价得分=（评标基准价/评标总价）×30分（计算结果保留2位小数，第三位四舍五入）。</w:t>
            </w:r>
          </w:p>
        </w:tc>
        <w:tc>
          <w:tcPr>
            <w:tcW w:w="1212" w:type="dxa"/>
            <w:noWrap w:val="0"/>
            <w:vAlign w:val="center"/>
          </w:tcPr>
          <w:p w14:paraId="3A52BB33">
            <w:pPr>
              <w:keepNext w:val="0"/>
              <w:keepLines w:val="0"/>
              <w:pageBreakBefore w:val="0"/>
              <w:widowControl w:val="0"/>
              <w:spacing w:line="4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30分</w:t>
            </w:r>
          </w:p>
        </w:tc>
      </w:tr>
      <w:tr w14:paraId="0D087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1249" w:type="dxa"/>
            <w:noWrap/>
            <w:vAlign w:val="center"/>
          </w:tcPr>
          <w:p w14:paraId="0B4A13B5">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技术响应</w:t>
            </w:r>
          </w:p>
        </w:tc>
        <w:tc>
          <w:tcPr>
            <w:tcW w:w="7128" w:type="dxa"/>
            <w:noWrap/>
            <w:vAlign w:val="center"/>
          </w:tcPr>
          <w:p w14:paraId="1BF86626">
            <w:pPr>
              <w:pStyle w:val="628"/>
              <w:keepNext w:val="0"/>
              <w:keepLines w:val="0"/>
              <w:pageBreakBefore w:val="0"/>
              <w:widowControl w:val="0"/>
              <w:spacing w:line="440" w:lineRule="exact"/>
              <w:rPr>
                <w:rFonts w:ascii="宋体" w:hAnsi="宋体" w:eastAsia="宋体" w:cs="宋体"/>
                <w:b/>
                <w:bCs w:val="0"/>
                <w:i/>
                <w:iCs/>
                <w:color w:val="auto"/>
                <w:sz w:val="24"/>
                <w:szCs w:val="24"/>
                <w:highlight w:val="none"/>
              </w:rPr>
            </w:pPr>
            <w:r>
              <w:rPr>
                <w:rFonts w:hint="eastAsia" w:ascii="宋体" w:hAnsi="宋体" w:eastAsia="宋体" w:cs="宋体"/>
                <w:bCs/>
                <w:color w:val="auto"/>
                <w:sz w:val="24"/>
                <w:szCs w:val="24"/>
                <w:highlight w:val="none"/>
                <w:shd w:val="clear" w:color="auto" w:fill="auto"/>
              </w:rPr>
              <w:t>根据所投产品技术参数要求的响应程度进行评分。全部响应招标文件&lt;第四部分 技术参数&gt;中技术参数和要求的，得</w:t>
            </w:r>
            <w:r>
              <w:rPr>
                <w:rFonts w:hint="eastAsia" w:ascii="宋体" w:hAnsi="宋体" w:eastAsia="宋体" w:cs="宋体"/>
                <w:bCs/>
                <w:color w:val="auto"/>
                <w:sz w:val="24"/>
                <w:szCs w:val="24"/>
                <w:highlight w:val="none"/>
                <w:shd w:val="clear" w:color="auto" w:fill="auto"/>
                <w:lang w:val="en-US" w:eastAsia="zh-CN"/>
              </w:rPr>
              <w:t>34</w:t>
            </w:r>
            <w:r>
              <w:rPr>
                <w:rFonts w:hint="eastAsia" w:ascii="宋体" w:hAnsi="宋体" w:eastAsia="宋体" w:cs="宋体"/>
                <w:bCs/>
                <w:color w:val="auto"/>
                <w:sz w:val="24"/>
                <w:szCs w:val="24"/>
                <w:highlight w:val="none"/>
                <w:shd w:val="clear" w:color="auto" w:fill="auto"/>
              </w:rPr>
              <w:t>分；</w:t>
            </w:r>
          </w:p>
          <w:p w14:paraId="582BDFF3">
            <w:pPr>
              <w:rPr>
                <w:rFonts w:hint="eastAsia" w:ascii="宋体" w:hAnsi="宋体" w:eastAsia="宋体" w:cs="宋体"/>
                <w:b w:val="0"/>
                <w:bCs/>
                <w:color w:val="auto"/>
                <w:sz w:val="24"/>
                <w:szCs w:val="24"/>
                <w:highlight w:val="none"/>
                <w:shd w:val="clear" w:color="auto" w:fill="auto"/>
              </w:rPr>
            </w:pPr>
            <w:r>
              <w:rPr>
                <w:rFonts w:ascii="宋体" w:hAnsi="宋体" w:eastAsia="宋体" w:cs="宋体"/>
                <w:b w:val="0"/>
                <w:bCs/>
                <w:i/>
                <w:iCs/>
                <w:color w:val="auto"/>
                <w:sz w:val="24"/>
                <w:szCs w:val="24"/>
                <w:highlight w:val="none"/>
                <w:lang w:val="en-US" w:eastAsia="zh-CN"/>
              </w:rPr>
              <w:t>“</w:t>
            </w:r>
            <w:r>
              <w:rPr>
                <w:rFonts w:hint="eastAsia" w:ascii="宋体" w:hAnsi="宋体" w:eastAsia="宋体" w:cs="宋体"/>
                <w:b w:val="0"/>
                <w:bCs/>
                <w:i/>
                <w:iCs/>
                <w:color w:val="auto"/>
                <w:sz w:val="24"/>
                <w:szCs w:val="24"/>
                <w:highlight w:val="none"/>
                <w:lang w:val="en-US" w:eastAsia="zh-CN"/>
              </w:rPr>
              <w:t>技术参数</w:t>
            </w:r>
            <w:r>
              <w:rPr>
                <w:rFonts w:ascii="宋体" w:hAnsi="宋体" w:eastAsia="宋体" w:cs="宋体"/>
                <w:b w:val="0"/>
                <w:bCs/>
                <w:i/>
                <w:iCs/>
                <w:color w:val="auto"/>
                <w:sz w:val="24"/>
                <w:szCs w:val="24"/>
                <w:highlight w:val="none"/>
                <w:lang w:val="en-US" w:eastAsia="zh-CN"/>
              </w:rPr>
              <w:t>”</w:t>
            </w:r>
            <w:r>
              <w:rPr>
                <w:rFonts w:hint="eastAsia" w:ascii="宋体" w:hAnsi="宋体" w:eastAsia="宋体" w:cs="宋体"/>
                <w:b w:val="0"/>
                <w:bCs/>
                <w:i/>
                <w:iCs/>
                <w:color w:val="auto"/>
                <w:sz w:val="24"/>
                <w:szCs w:val="24"/>
                <w:highlight w:val="none"/>
                <w:lang w:val="en-US" w:eastAsia="zh-CN"/>
              </w:rPr>
              <w:t>中</w:t>
            </w:r>
            <w:r>
              <w:rPr>
                <w:rFonts w:hint="eastAsia" w:ascii="宋体" w:hAnsi="宋体" w:cs="宋体"/>
                <w:b w:val="0"/>
                <w:bCs/>
                <w:i/>
                <w:iCs/>
                <w:color w:val="auto"/>
                <w:sz w:val="24"/>
                <w:szCs w:val="24"/>
                <w:highlight w:val="none"/>
              </w:rPr>
              <w:t>带</w:t>
            </w:r>
            <w:r>
              <w:rPr>
                <w:rFonts w:hint="eastAsia" w:ascii="宋体" w:hAnsi="宋体" w:eastAsia="宋体" w:cs="宋体"/>
                <w:b w:val="0"/>
                <w:bCs/>
                <w:i/>
                <w:iCs/>
                <w:color w:val="auto"/>
                <w:sz w:val="24"/>
                <w:szCs w:val="24"/>
                <w:highlight w:val="none"/>
              </w:rPr>
              <w:t>★</w:t>
            </w:r>
            <w:r>
              <w:rPr>
                <w:rFonts w:hint="eastAsia" w:ascii="宋体" w:hAnsi="宋体" w:cs="宋体"/>
                <w:b w:val="0"/>
                <w:bCs/>
                <w:i/>
                <w:iCs/>
                <w:color w:val="auto"/>
                <w:sz w:val="24"/>
                <w:szCs w:val="24"/>
                <w:highlight w:val="none"/>
              </w:rPr>
              <w:t>的条款，每有一项不满足</w:t>
            </w:r>
            <w:r>
              <w:rPr>
                <w:rFonts w:hint="eastAsia" w:ascii="宋体" w:hAnsi="宋体" w:cs="宋体"/>
                <w:b w:val="0"/>
                <w:bCs/>
                <w:i/>
                <w:iCs/>
                <w:color w:val="auto"/>
                <w:sz w:val="24"/>
                <w:szCs w:val="24"/>
                <w:highlight w:val="none"/>
                <w:lang w:val="en-US" w:eastAsia="zh-CN"/>
              </w:rPr>
              <w:t>作无效投标文件处理</w:t>
            </w:r>
          </w:p>
          <w:p w14:paraId="3288D6E2">
            <w:pPr>
              <w:pStyle w:val="628"/>
              <w:keepNext w:val="0"/>
              <w:keepLines w:val="0"/>
              <w:pageBreakBefore w:val="0"/>
              <w:widowControl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rPr>
              <w:t>“技术参数”中的条款，每有一项不满足（负偏离）的扣</w:t>
            </w:r>
            <w:r>
              <w:rPr>
                <w:rFonts w:hint="eastAsia" w:ascii="宋体" w:hAnsi="宋体" w:eastAsia="宋体" w:cs="宋体"/>
                <w:bCs/>
                <w:color w:val="auto"/>
                <w:sz w:val="24"/>
                <w:szCs w:val="24"/>
                <w:highlight w:val="none"/>
                <w:shd w:val="clear" w:color="auto" w:fill="auto"/>
                <w:lang w:val="en-US" w:eastAsia="zh-CN"/>
              </w:rPr>
              <w:t>2</w:t>
            </w:r>
            <w:r>
              <w:rPr>
                <w:rFonts w:hint="eastAsia" w:ascii="宋体" w:hAnsi="宋体" w:eastAsia="宋体" w:cs="宋体"/>
                <w:bCs/>
                <w:color w:val="auto"/>
                <w:sz w:val="24"/>
                <w:szCs w:val="24"/>
                <w:highlight w:val="none"/>
                <w:shd w:val="clear" w:color="auto" w:fill="auto"/>
              </w:rPr>
              <w:t>分，扣完为止。</w:t>
            </w:r>
          </w:p>
          <w:p w14:paraId="261D101D">
            <w:pPr>
              <w:numPr>
                <w:ilvl w:val="0"/>
                <w:numId w:val="0"/>
              </w:numPr>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2、</w:t>
            </w:r>
            <w:r>
              <w:rPr>
                <w:rFonts w:hint="eastAsia" w:ascii="宋体" w:hAnsi="宋体" w:eastAsia="宋体" w:cs="宋体"/>
                <w:bCs/>
                <w:color w:val="auto"/>
                <w:sz w:val="24"/>
                <w:szCs w:val="24"/>
                <w:highlight w:val="none"/>
                <w:shd w:val="clear" w:color="auto" w:fill="auto"/>
              </w:rPr>
              <w:t>“技术参数”</w:t>
            </w:r>
            <w:r>
              <w:rPr>
                <w:rFonts w:hint="eastAsia" w:ascii="宋体" w:hAnsi="宋体" w:eastAsia="宋体" w:cs="宋体"/>
                <w:color w:val="auto"/>
                <w:sz w:val="24"/>
                <w:szCs w:val="24"/>
                <w:highlight w:val="none"/>
                <w:shd w:val="clear" w:color="auto" w:fill="auto"/>
                <w:lang w:val="en-US" w:eastAsia="zh-CN"/>
              </w:rPr>
              <w:t>带</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Cs/>
                <w:color w:val="auto"/>
                <w:sz w:val="24"/>
                <w:szCs w:val="24"/>
                <w:highlight w:val="none"/>
                <w:shd w:val="clear" w:color="auto" w:fill="auto"/>
                <w:lang w:val="en-US" w:eastAsia="zh-CN"/>
              </w:rPr>
              <w:t>的条款，每有一项不满足（负偏离）的扣3分，扣完为止。</w:t>
            </w:r>
          </w:p>
          <w:p w14:paraId="454C7FD2">
            <w:pPr>
              <w:pStyle w:val="628"/>
              <w:keepNext w:val="0"/>
              <w:keepLines w:val="0"/>
              <w:pageBreakBefore w:val="0"/>
              <w:widowControl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注：（1）以上“技术参数”响应情况均须在投标文件《技术参数响应偏离表》中逐条表述清楚，如表述不清，则按不满足（负偏离）处理。</w:t>
            </w:r>
          </w:p>
          <w:p w14:paraId="3816F028">
            <w:pPr>
              <w:pStyle w:val="628"/>
              <w:keepNext w:val="0"/>
              <w:keepLines w:val="0"/>
              <w:pageBreakBefore w:val="0"/>
              <w:widowControl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w:t>
            </w:r>
            <w:r>
              <w:rPr>
                <w:rFonts w:hint="eastAsia" w:ascii="宋体" w:hAnsi="宋体" w:eastAsia="宋体" w:cs="宋体"/>
                <w:bCs/>
                <w:color w:val="auto"/>
                <w:sz w:val="24"/>
                <w:szCs w:val="24"/>
                <w:highlight w:val="none"/>
                <w:shd w:val="clear" w:color="auto" w:fill="auto"/>
                <w:lang w:val="en-US" w:eastAsia="zh-CN"/>
              </w:rPr>
              <w:t>若参数中明确要求投标人</w:t>
            </w:r>
            <w:r>
              <w:rPr>
                <w:rFonts w:hint="eastAsia" w:ascii="宋体" w:hAnsi="宋体" w:eastAsia="宋体" w:cs="宋体"/>
                <w:bCs/>
                <w:color w:val="auto"/>
                <w:sz w:val="24"/>
                <w:szCs w:val="24"/>
                <w:highlight w:val="none"/>
                <w:shd w:val="clear" w:color="auto" w:fill="auto"/>
              </w:rPr>
              <w:t>提供相关证书及证明材料</w:t>
            </w:r>
            <w:r>
              <w:rPr>
                <w:rFonts w:hint="eastAsia" w:ascii="宋体" w:hAnsi="宋体" w:eastAsia="宋体" w:cs="宋体"/>
                <w:bCs/>
                <w:color w:val="auto"/>
                <w:sz w:val="24"/>
                <w:szCs w:val="24"/>
                <w:highlight w:val="none"/>
                <w:shd w:val="clear" w:color="auto" w:fill="auto"/>
                <w:lang w:val="en-US" w:eastAsia="zh-CN"/>
              </w:rPr>
              <w:t>的</w:t>
            </w:r>
            <w:r>
              <w:rPr>
                <w:rFonts w:hint="eastAsia" w:ascii="宋体" w:hAnsi="宋体" w:eastAsia="宋体" w:cs="宋体"/>
                <w:bCs/>
                <w:color w:val="auto"/>
                <w:sz w:val="24"/>
                <w:szCs w:val="24"/>
                <w:highlight w:val="none"/>
                <w:shd w:val="clear" w:color="auto" w:fill="auto"/>
              </w:rPr>
              <w:t>，未提供的不得分。</w:t>
            </w:r>
          </w:p>
          <w:p w14:paraId="0E9A0733">
            <w:pPr>
              <w:pStyle w:val="628"/>
              <w:keepNext w:val="0"/>
              <w:keepLines w:val="0"/>
              <w:pageBreakBefore w:val="0"/>
              <w:widowControl w:val="0"/>
              <w:spacing w:line="440" w:lineRule="exact"/>
              <w:rPr>
                <w:rFonts w:hint="eastAsia" w:eastAsia="宋体"/>
                <w:color w:val="auto"/>
                <w:highlight w:val="none"/>
                <w:shd w:val="clear" w:color="auto" w:fill="auto"/>
              </w:rPr>
            </w:pPr>
            <w:r>
              <w:rPr>
                <w:rFonts w:hint="eastAsia" w:ascii="宋体" w:hAnsi="宋体" w:eastAsia="宋体" w:cs="宋体"/>
                <w:bCs/>
                <w:color w:val="auto"/>
                <w:sz w:val="24"/>
                <w:szCs w:val="24"/>
                <w:highlight w:val="none"/>
                <w:shd w:val="clear" w:color="auto" w:fill="auto"/>
              </w:rPr>
              <w:t>（3）《技术参数响应偏离表》中的内容须是投标人投标产品的真实反映，投标人在投标时不得虚假响应和虚假承诺，否则将取消其投标资格；已中标的，将取消其中标资格。</w:t>
            </w:r>
          </w:p>
        </w:tc>
        <w:tc>
          <w:tcPr>
            <w:tcW w:w="1212" w:type="dxa"/>
            <w:noWrap/>
            <w:vAlign w:val="center"/>
          </w:tcPr>
          <w:p w14:paraId="3D1F14F7">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34</w:t>
            </w:r>
            <w:r>
              <w:rPr>
                <w:rFonts w:hint="eastAsia" w:ascii="宋体" w:hAnsi="宋体" w:eastAsia="宋体" w:cs="宋体"/>
                <w:bCs/>
                <w:color w:val="auto"/>
                <w:sz w:val="24"/>
                <w:szCs w:val="24"/>
                <w:highlight w:val="none"/>
                <w:shd w:val="clear" w:color="auto" w:fill="auto"/>
              </w:rPr>
              <w:t>分</w:t>
            </w:r>
          </w:p>
        </w:tc>
      </w:tr>
      <w:tr w14:paraId="10FE9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49" w:type="dxa"/>
            <w:noWrap/>
            <w:vAlign w:val="center"/>
          </w:tcPr>
          <w:p w14:paraId="67FF44C0">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产品业绩</w:t>
            </w:r>
          </w:p>
        </w:tc>
        <w:tc>
          <w:tcPr>
            <w:tcW w:w="7128" w:type="dxa"/>
            <w:noWrap w:val="0"/>
            <w:vAlign w:val="center"/>
          </w:tcPr>
          <w:p w14:paraId="09E6803A">
            <w:pPr>
              <w:keepNext w:val="0"/>
              <w:keepLines w:val="0"/>
              <w:pageBreakBefore w:val="0"/>
              <w:widowControl w:val="0"/>
              <w:spacing w:line="440" w:lineRule="exact"/>
              <w:rPr>
                <w:rFonts w:ascii="宋体" w:hAnsi="宋体" w:eastAsia="宋体" w:cs="宋体"/>
                <w:bCs/>
                <w:color w:val="auto"/>
                <w:sz w:val="24"/>
                <w:szCs w:val="24"/>
                <w:highlight w:val="none"/>
                <w:shd w:val="clear" w:color="auto" w:fill="auto"/>
              </w:rPr>
            </w:pPr>
            <w:r>
              <w:rPr>
                <w:rFonts w:hint="eastAsia" w:ascii="宋体" w:hAnsi="宋体" w:cs="宋体"/>
                <w:b w:val="0"/>
                <w:bCs/>
                <w:color w:val="auto"/>
                <w:sz w:val="24"/>
                <w:szCs w:val="24"/>
                <w:highlight w:val="none"/>
                <w:shd w:val="clear" w:color="auto" w:fill="auto"/>
                <w:lang w:val="en-US" w:eastAsia="zh-CN"/>
              </w:rPr>
              <w:t>提供自2021年01月01日（以合同签订时间为准）以来完成过所投产品的业绩</w:t>
            </w:r>
            <w:r>
              <w:rPr>
                <w:rFonts w:hint="eastAsia" w:ascii="宋体" w:hAnsi="宋体" w:eastAsia="宋体" w:cs="宋体"/>
                <w:b w:val="0"/>
                <w:bCs/>
                <w:color w:val="auto"/>
                <w:sz w:val="24"/>
                <w:szCs w:val="24"/>
                <w:highlight w:val="none"/>
                <w:shd w:val="clear" w:color="auto" w:fill="auto"/>
              </w:rPr>
              <w:t>，</w:t>
            </w:r>
            <w:r>
              <w:rPr>
                <w:rFonts w:hint="eastAsia" w:ascii="宋体" w:hAnsi="宋体" w:eastAsia="宋体" w:cs="宋体"/>
                <w:bCs/>
                <w:color w:val="auto"/>
                <w:sz w:val="24"/>
                <w:szCs w:val="24"/>
                <w:highlight w:val="none"/>
                <w:shd w:val="clear" w:color="auto" w:fill="auto"/>
              </w:rPr>
              <w:t>有</w:t>
            </w:r>
            <w:r>
              <w:rPr>
                <w:rFonts w:hint="eastAsia" w:ascii="宋体" w:hAnsi="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rPr>
              <w:t>项得</w:t>
            </w:r>
            <w:r>
              <w:rPr>
                <w:rFonts w:hint="eastAsia" w:ascii="宋体" w:hAnsi="宋体" w:cs="宋体"/>
                <w:bCs/>
                <w:color w:val="auto"/>
                <w:sz w:val="24"/>
                <w:szCs w:val="24"/>
                <w:highlight w:val="none"/>
                <w:shd w:val="clear" w:color="auto" w:fill="auto"/>
                <w:lang w:val="en-US" w:eastAsia="zh-CN"/>
              </w:rPr>
              <w:t>0.5</w:t>
            </w:r>
            <w:r>
              <w:rPr>
                <w:rFonts w:hint="eastAsia" w:ascii="宋体" w:hAnsi="宋体" w:eastAsia="宋体" w:cs="宋体"/>
                <w:bCs/>
                <w:color w:val="auto"/>
                <w:sz w:val="24"/>
                <w:szCs w:val="24"/>
                <w:highlight w:val="none"/>
                <w:shd w:val="clear" w:color="auto" w:fill="auto"/>
              </w:rPr>
              <w:t>分，本项最高得</w:t>
            </w:r>
            <w:r>
              <w:rPr>
                <w:rFonts w:hint="eastAsia" w:ascii="宋体" w:hAnsi="宋体" w:eastAsia="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rPr>
              <w:t>分。（投标时须提供合同和验收报告扫描件</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提供不全的或未提供的本项不得分）。</w:t>
            </w:r>
            <w:r>
              <w:rPr>
                <w:rFonts w:hint="eastAsia" w:ascii="宋体" w:hAnsi="宋体" w:eastAsia="宋体" w:cs="宋体"/>
                <w:bCs/>
                <w:color w:val="auto"/>
                <w:sz w:val="24"/>
                <w:szCs w:val="24"/>
                <w:highlight w:val="none"/>
                <w:shd w:val="clear" w:color="auto" w:fill="auto"/>
                <w:lang w:val="en-US" w:eastAsia="zh-CN"/>
              </w:rPr>
              <w:t>如合同和验收报告均未体现货物名称以及品牌型号的，还须提供业绩发包方出具的证明扫描件并加盖单位公章。</w:t>
            </w:r>
          </w:p>
        </w:tc>
        <w:tc>
          <w:tcPr>
            <w:tcW w:w="1212" w:type="dxa"/>
            <w:noWrap w:val="0"/>
            <w:vAlign w:val="center"/>
          </w:tcPr>
          <w:p w14:paraId="39AE2F75">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rPr>
              <w:t>分</w:t>
            </w:r>
          </w:p>
        </w:tc>
      </w:tr>
      <w:tr w14:paraId="04BEC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jc w:val="center"/>
        </w:trPr>
        <w:tc>
          <w:tcPr>
            <w:tcW w:w="1249" w:type="dxa"/>
            <w:noWrap/>
            <w:vAlign w:val="center"/>
          </w:tcPr>
          <w:p w14:paraId="6A92CD81">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免费质量保修期</w:t>
            </w:r>
          </w:p>
        </w:tc>
        <w:tc>
          <w:tcPr>
            <w:tcW w:w="7128" w:type="dxa"/>
            <w:noWrap w:val="0"/>
            <w:vAlign w:val="center"/>
          </w:tcPr>
          <w:p w14:paraId="0EAEA434">
            <w:pPr>
              <w:keepNext w:val="0"/>
              <w:keepLines w:val="0"/>
              <w:pageBreakBefore w:val="0"/>
              <w:widowControl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在项目需求原</w:t>
            </w:r>
            <w:r>
              <w:rPr>
                <w:rFonts w:hint="eastAsia" w:ascii="宋体" w:hAnsi="宋体" w:eastAsia="宋体" w:cs="宋体"/>
                <w:bCs/>
                <w:color w:val="auto"/>
                <w:sz w:val="24"/>
                <w:szCs w:val="24"/>
                <w:highlight w:val="none"/>
                <w:shd w:val="clear" w:color="auto" w:fill="auto"/>
              </w:rPr>
              <w:t>质量保修期基础上</w:t>
            </w:r>
            <w:r>
              <w:rPr>
                <w:rFonts w:hint="eastAsia" w:ascii="宋体" w:hAnsi="宋体" w:cs="宋体"/>
                <w:bCs/>
                <w:color w:val="auto"/>
                <w:sz w:val="24"/>
                <w:szCs w:val="24"/>
                <w:highlight w:val="none"/>
                <w:shd w:val="clear" w:color="auto" w:fill="auto"/>
                <w:lang w:val="en-US" w:eastAsia="zh-CN"/>
              </w:rPr>
              <w:t>每</w:t>
            </w:r>
            <w:r>
              <w:rPr>
                <w:rFonts w:hint="eastAsia" w:ascii="宋体" w:hAnsi="宋体" w:eastAsia="宋体" w:cs="宋体"/>
                <w:bCs/>
                <w:color w:val="auto"/>
                <w:sz w:val="24"/>
                <w:szCs w:val="24"/>
                <w:highlight w:val="none"/>
                <w:shd w:val="clear" w:color="auto" w:fill="auto"/>
              </w:rPr>
              <w:t>增加</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rPr>
              <w:t>个月的得</w:t>
            </w:r>
            <w:r>
              <w:rPr>
                <w:rFonts w:hint="eastAsia" w:ascii="宋体" w:hAnsi="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rPr>
              <w:t>分，最高得</w:t>
            </w:r>
            <w:r>
              <w:rPr>
                <w:rFonts w:hint="eastAsia" w:ascii="宋体" w:hAnsi="宋体" w:cs="宋体"/>
                <w:bCs/>
                <w:color w:val="auto"/>
                <w:sz w:val="24"/>
                <w:szCs w:val="24"/>
                <w:highlight w:val="none"/>
                <w:shd w:val="clear" w:color="auto" w:fill="auto"/>
                <w:lang w:val="en-US" w:eastAsia="zh-CN"/>
              </w:rPr>
              <w:t>12</w:t>
            </w:r>
            <w:r>
              <w:rPr>
                <w:rFonts w:hint="eastAsia" w:ascii="宋体" w:hAnsi="宋体" w:eastAsia="宋体" w:cs="宋体"/>
                <w:bCs/>
                <w:color w:val="auto"/>
                <w:sz w:val="24"/>
                <w:szCs w:val="24"/>
                <w:highlight w:val="none"/>
                <w:shd w:val="clear" w:color="auto" w:fill="auto"/>
              </w:rPr>
              <w:t>分。（以投标人投标时提供的承诺函（格式自拟）为准，未提供的不得分）。</w:t>
            </w:r>
          </w:p>
        </w:tc>
        <w:tc>
          <w:tcPr>
            <w:tcW w:w="1212" w:type="dxa"/>
            <w:noWrap w:val="0"/>
            <w:vAlign w:val="center"/>
          </w:tcPr>
          <w:p w14:paraId="19BC9E28">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12</w:t>
            </w:r>
            <w:r>
              <w:rPr>
                <w:rFonts w:hint="eastAsia" w:ascii="宋体" w:hAnsi="宋体" w:eastAsia="宋体" w:cs="宋体"/>
                <w:bCs/>
                <w:color w:val="auto"/>
                <w:sz w:val="24"/>
                <w:szCs w:val="24"/>
                <w:highlight w:val="none"/>
                <w:shd w:val="clear" w:color="auto" w:fill="auto"/>
              </w:rPr>
              <w:t>分</w:t>
            </w:r>
          </w:p>
        </w:tc>
      </w:tr>
      <w:tr w14:paraId="48BE0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jc w:val="center"/>
        </w:trPr>
        <w:tc>
          <w:tcPr>
            <w:tcW w:w="1249" w:type="dxa"/>
            <w:noWrap/>
            <w:vAlign w:val="center"/>
          </w:tcPr>
          <w:p w14:paraId="107B3C5A">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项目实施方案</w:t>
            </w:r>
          </w:p>
        </w:tc>
        <w:tc>
          <w:tcPr>
            <w:tcW w:w="7128" w:type="dxa"/>
            <w:noWrap w:val="0"/>
            <w:vAlign w:val="center"/>
          </w:tcPr>
          <w:p w14:paraId="350B104E">
            <w:pPr>
              <w:keepNext w:val="0"/>
              <w:keepLines w:val="0"/>
              <w:pageBreakBefore w:val="0"/>
              <w:widowControl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rPr>
              <w:t>根据投标人提供的项目实施方案进行评分，方案至少包括设备供货时间进度计划及其进度保证措施、安装、调试、验收，方案全面优于本项目需求的得</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分；方案基本符合本项目需求的得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分；方案低于本项目需求得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分；未提供不得分。</w:t>
            </w:r>
          </w:p>
        </w:tc>
        <w:tc>
          <w:tcPr>
            <w:tcW w:w="1212" w:type="dxa"/>
            <w:noWrap w:val="0"/>
            <w:vAlign w:val="center"/>
          </w:tcPr>
          <w:p w14:paraId="7BC796A6">
            <w:pPr>
              <w:keepNext w:val="0"/>
              <w:keepLines w:val="0"/>
              <w:pageBreakBefore w:val="0"/>
              <w:widowControl w:val="0"/>
              <w:spacing w:line="440" w:lineRule="exact"/>
              <w:jc w:val="center"/>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lang w:val="en-US" w:eastAsia="zh-CN"/>
              </w:rPr>
              <w:t>分</w:t>
            </w:r>
          </w:p>
        </w:tc>
      </w:tr>
      <w:tr w14:paraId="3588B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jc w:val="center"/>
        </w:trPr>
        <w:tc>
          <w:tcPr>
            <w:tcW w:w="1249" w:type="dxa"/>
            <w:noWrap/>
            <w:vAlign w:val="center"/>
          </w:tcPr>
          <w:p w14:paraId="784BA431">
            <w:pPr>
              <w:keepNext w:val="0"/>
              <w:keepLines w:val="0"/>
              <w:pageBreakBefore w:val="0"/>
              <w:widowControl w:val="0"/>
              <w:spacing w:line="440" w:lineRule="exact"/>
              <w:jc w:val="center"/>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人员配备</w:t>
            </w:r>
          </w:p>
        </w:tc>
        <w:tc>
          <w:tcPr>
            <w:tcW w:w="7128" w:type="dxa"/>
            <w:noWrap w:val="0"/>
            <w:vAlign w:val="center"/>
          </w:tcPr>
          <w:p w14:paraId="261778CB">
            <w:pPr>
              <w:keepNext w:val="0"/>
              <w:keepLines w:val="0"/>
              <w:pageBreakBefore w:val="0"/>
              <w:widowControl w:val="0"/>
              <w:spacing w:line="440" w:lineRule="exact"/>
              <w:rPr>
                <w:rFonts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rPr>
              <w:t>根据投标人针对本项目实施的管理人员投入、各专业施工人员投入、技术人员投入、安装调试人员投入等；管理及专业实施人员配备优于本项目需求的得</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分，管理及专业实施人员配备基本符合本项目需求的得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分，管理及专业实施人员配备低于本项目需求的得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分；未提供不得分。</w:t>
            </w:r>
          </w:p>
        </w:tc>
        <w:tc>
          <w:tcPr>
            <w:tcW w:w="1212" w:type="dxa"/>
            <w:noWrap w:val="0"/>
            <w:vAlign w:val="center"/>
          </w:tcPr>
          <w:p w14:paraId="7057CAB8">
            <w:pPr>
              <w:keepNext w:val="0"/>
              <w:keepLines w:val="0"/>
              <w:pageBreakBefore w:val="0"/>
              <w:widowControl w:val="0"/>
              <w:spacing w:line="440" w:lineRule="exact"/>
              <w:jc w:val="center"/>
              <w:rPr>
                <w:rFonts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3分</w:t>
            </w:r>
          </w:p>
        </w:tc>
      </w:tr>
      <w:tr w14:paraId="4386D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jc w:val="center"/>
        </w:trPr>
        <w:tc>
          <w:tcPr>
            <w:tcW w:w="1249" w:type="dxa"/>
            <w:noWrap/>
            <w:vAlign w:val="center"/>
          </w:tcPr>
          <w:p w14:paraId="4AB7A062">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项目技术复杂程度、重点、难点及其解决方案</w:t>
            </w:r>
          </w:p>
        </w:tc>
        <w:tc>
          <w:tcPr>
            <w:tcW w:w="7128" w:type="dxa"/>
            <w:noWrap w:val="0"/>
            <w:vAlign w:val="center"/>
          </w:tcPr>
          <w:p w14:paraId="04B89E95">
            <w:pPr>
              <w:keepNext w:val="0"/>
              <w:keepLines w:val="0"/>
              <w:pageBreakBefore w:val="0"/>
              <w:widowControl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rPr>
              <w:t>根据投标人提供的针对本项目的项目技术复杂性、重点、难点及其解决方案进行评分，方案至少包括项目的（1）技术复杂性及其解决方案、（2）重点及其解决方案、（3）难点及其解决方案，方案全面优于本项目需求的得</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分；方案基本符合本项目需求的得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分；方案低于本项目需求得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分；未提供不得分。</w:t>
            </w:r>
          </w:p>
        </w:tc>
        <w:tc>
          <w:tcPr>
            <w:tcW w:w="1212" w:type="dxa"/>
            <w:noWrap w:val="0"/>
            <w:vAlign w:val="center"/>
          </w:tcPr>
          <w:p w14:paraId="2B581DBD">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rPr>
              <w:t>分</w:t>
            </w:r>
          </w:p>
        </w:tc>
      </w:tr>
      <w:tr w14:paraId="5E030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49" w:type="dxa"/>
            <w:noWrap/>
            <w:vAlign w:val="center"/>
          </w:tcPr>
          <w:p w14:paraId="23DE793C">
            <w:pPr>
              <w:keepNext w:val="0"/>
              <w:keepLines w:val="0"/>
              <w:pageBreakBefore w:val="0"/>
              <w:widowControl w:val="0"/>
              <w:spacing w:line="440" w:lineRule="exact"/>
              <w:jc w:val="center"/>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应急保障方案</w:t>
            </w:r>
          </w:p>
        </w:tc>
        <w:tc>
          <w:tcPr>
            <w:tcW w:w="7128" w:type="dxa"/>
            <w:noWrap w:val="0"/>
            <w:vAlign w:val="center"/>
          </w:tcPr>
          <w:p w14:paraId="7103F0F2">
            <w:pPr>
              <w:keepNext w:val="0"/>
              <w:keepLines w:val="0"/>
              <w:pageBreakBefore w:val="0"/>
              <w:widowControl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根据投标人提供的针对本项目的应急保障预案进行评分，方案至少包括自然灾害等突发不可预见的紧急情况；方案全面优于本项目需求的得</w:t>
            </w:r>
            <w:r>
              <w:rPr>
                <w:rFonts w:hint="eastAsia" w:ascii="宋体" w:hAnsi="宋体" w:eastAsia="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rPr>
              <w:t>分；方案基本符合本项目需求的得</w:t>
            </w:r>
            <w:r>
              <w:rPr>
                <w:rFonts w:hint="eastAsia" w:ascii="宋体" w:hAnsi="宋体" w:eastAsia="宋体" w:cs="宋体"/>
                <w:bCs/>
                <w:color w:val="auto"/>
                <w:sz w:val="24"/>
                <w:szCs w:val="24"/>
                <w:highlight w:val="none"/>
                <w:shd w:val="clear" w:color="auto" w:fill="auto"/>
                <w:lang w:val="en-US" w:eastAsia="zh-CN"/>
              </w:rPr>
              <w:t>2</w:t>
            </w:r>
            <w:r>
              <w:rPr>
                <w:rFonts w:hint="eastAsia" w:ascii="宋体" w:hAnsi="宋体" w:eastAsia="宋体" w:cs="宋体"/>
                <w:bCs/>
                <w:color w:val="auto"/>
                <w:sz w:val="24"/>
                <w:szCs w:val="24"/>
                <w:highlight w:val="none"/>
                <w:shd w:val="clear" w:color="auto" w:fill="auto"/>
              </w:rPr>
              <w:t>分；方案低于本项目需求得</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rPr>
              <w:t>分；未提供不得分。</w:t>
            </w:r>
          </w:p>
        </w:tc>
        <w:tc>
          <w:tcPr>
            <w:tcW w:w="1212" w:type="dxa"/>
            <w:noWrap w:val="0"/>
            <w:vAlign w:val="center"/>
          </w:tcPr>
          <w:p w14:paraId="616560E7">
            <w:pPr>
              <w:keepNext w:val="0"/>
              <w:keepLines w:val="0"/>
              <w:pageBreakBefore w:val="0"/>
              <w:widowControl w:val="0"/>
              <w:spacing w:line="440" w:lineRule="exact"/>
              <w:jc w:val="center"/>
              <w:rPr>
                <w:rFonts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3分</w:t>
            </w:r>
          </w:p>
        </w:tc>
      </w:tr>
      <w:tr w14:paraId="1FDA3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49" w:type="dxa"/>
            <w:noWrap/>
            <w:vAlign w:val="center"/>
          </w:tcPr>
          <w:p w14:paraId="37A6C322">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项目培训方案</w:t>
            </w:r>
          </w:p>
        </w:tc>
        <w:tc>
          <w:tcPr>
            <w:tcW w:w="7128" w:type="dxa"/>
            <w:noWrap w:val="0"/>
            <w:vAlign w:val="center"/>
          </w:tcPr>
          <w:p w14:paraId="0E68E628">
            <w:pPr>
              <w:keepNext w:val="0"/>
              <w:keepLines w:val="0"/>
              <w:pageBreakBefore w:val="0"/>
              <w:widowControl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rPr>
              <w:t>根据投标人提供的项目培训方案进行评分，方案至少包括培训的技术人员安排、培训频率、培训内容等；方案全面优于本项目需求的得</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分；方案基本符合本项目需求的得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分；方案低于本项目需求得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分；未提供不得分。</w:t>
            </w:r>
          </w:p>
        </w:tc>
        <w:tc>
          <w:tcPr>
            <w:tcW w:w="1212" w:type="dxa"/>
            <w:noWrap w:val="0"/>
            <w:vAlign w:val="center"/>
          </w:tcPr>
          <w:p w14:paraId="20C57BE4">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rPr>
              <w:t>分</w:t>
            </w:r>
          </w:p>
        </w:tc>
      </w:tr>
      <w:tr w14:paraId="2F6F5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jc w:val="center"/>
        </w:trPr>
        <w:tc>
          <w:tcPr>
            <w:tcW w:w="1249" w:type="dxa"/>
            <w:noWrap/>
            <w:vAlign w:val="center"/>
          </w:tcPr>
          <w:p w14:paraId="0AEE8DAB">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售后服务方案</w:t>
            </w:r>
          </w:p>
        </w:tc>
        <w:tc>
          <w:tcPr>
            <w:tcW w:w="7128" w:type="dxa"/>
            <w:noWrap w:val="0"/>
            <w:vAlign w:val="center"/>
          </w:tcPr>
          <w:p w14:paraId="7A146978">
            <w:pPr>
              <w:keepNext w:val="0"/>
              <w:keepLines w:val="0"/>
              <w:pageBreakBefore w:val="0"/>
              <w:widowControl w:val="0"/>
              <w:spacing w:line="440" w:lineRule="exact"/>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rPr>
              <w:t>根据投标人提供的售后服务方案进行评分，方案至少包括服务体系、服务响应时间，回访巡检方案、故障解决措施、技术人员保障、质保期满后备品配件价格、各服务网点地点及人员配置、维修网点设置地点及人员配置等；方案全面优于本项目需求的得3分；方案基本符合本项目需求的得2分；方案低于本项目需求得1分；未提供不得分。</w:t>
            </w:r>
          </w:p>
        </w:tc>
        <w:tc>
          <w:tcPr>
            <w:tcW w:w="1212" w:type="dxa"/>
            <w:noWrap w:val="0"/>
            <w:vAlign w:val="center"/>
          </w:tcPr>
          <w:p w14:paraId="7C78C737">
            <w:pPr>
              <w:keepNext w:val="0"/>
              <w:keepLines w:val="0"/>
              <w:pageBreakBefore w:val="0"/>
              <w:widowControl w:val="0"/>
              <w:spacing w:line="440" w:lineRule="exact"/>
              <w:jc w:val="center"/>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rPr>
              <w:t>分</w:t>
            </w:r>
          </w:p>
        </w:tc>
      </w:tr>
    </w:tbl>
    <w:p w14:paraId="79F702A3">
      <w:pPr>
        <w:shd w:val="clear" w:color="auto" w:fill="auto"/>
        <w:spacing w:line="400" w:lineRule="exact"/>
        <w:ind w:right="-10"/>
        <w:rPr>
          <w:rFonts w:hint="eastAsia" w:ascii="宋体" w:hAnsi="宋体" w:cs="宋体"/>
          <w:color w:val="auto"/>
          <w:sz w:val="24"/>
          <w:highlight w:val="none"/>
        </w:rPr>
      </w:pPr>
    </w:p>
    <w:p w14:paraId="61DDC79D">
      <w:pPr>
        <w:keepNext w:val="0"/>
        <w:keepLines w:val="0"/>
        <w:pageBreakBefore w:val="0"/>
        <w:widowControl w:val="0"/>
        <w:shd w:val="clear" w:color="auto" w:fill="auto"/>
        <w:spacing w:line="440" w:lineRule="exact"/>
        <w:ind w:right="-10" w:firstLine="480"/>
        <w:rPr>
          <w:rFonts w:hint="eastAsia" w:ascii="宋体" w:hAnsi="宋体" w:cs="宋体"/>
          <w:color w:val="auto"/>
          <w:sz w:val="24"/>
          <w:highlight w:val="none"/>
        </w:rPr>
      </w:pPr>
      <w:r>
        <w:rPr>
          <w:rFonts w:hint="eastAsia" w:ascii="宋体" w:hAnsi="宋体" w:cs="宋体"/>
          <w:color w:val="auto"/>
          <w:sz w:val="24"/>
          <w:highlight w:val="none"/>
        </w:rPr>
        <w:t>说明：</w:t>
      </w:r>
    </w:p>
    <w:p w14:paraId="053A1FB9">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1.小微型企业价格扣除</w:t>
      </w:r>
    </w:p>
    <w:p w14:paraId="55E1E23B">
      <w:pPr>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ascii="宋体" w:hAnsi="宋体" w:cs="宋体"/>
          <w:color w:val="auto"/>
          <w:sz w:val="24"/>
          <w:highlight w:val="none"/>
        </w:rPr>
        <w:t>在货物采购项目中，货物由</w:t>
      </w:r>
      <w:r>
        <w:rPr>
          <w:rFonts w:hint="eastAsia" w:hAnsi="宋体"/>
          <w:color w:val="auto"/>
          <w:sz w:val="24"/>
          <w:szCs w:val="24"/>
          <w:highlight w:val="none"/>
        </w:rPr>
        <w:t>小微型</w:t>
      </w:r>
      <w:r>
        <w:rPr>
          <w:rFonts w:hint="eastAsia" w:hAnsi="宋体"/>
          <w:color w:val="auto"/>
          <w:sz w:val="24"/>
          <w:szCs w:val="24"/>
          <w:highlight w:val="none"/>
          <w:lang w:val="en-US" w:eastAsia="zh-CN"/>
        </w:rPr>
        <w:t>企业</w:t>
      </w:r>
      <w:r>
        <w:rPr>
          <w:rFonts w:hint="eastAsia" w:ascii="宋体" w:hAnsi="宋体" w:cs="宋体"/>
          <w:color w:val="auto"/>
          <w:sz w:val="24"/>
          <w:highlight w:val="none"/>
        </w:rPr>
        <w:t>制造，即货物由</w:t>
      </w:r>
      <w:r>
        <w:rPr>
          <w:rFonts w:hint="eastAsia" w:hAnsi="宋体"/>
          <w:color w:val="auto"/>
          <w:sz w:val="24"/>
          <w:szCs w:val="24"/>
          <w:highlight w:val="none"/>
        </w:rPr>
        <w:t>小微型</w:t>
      </w:r>
      <w:r>
        <w:rPr>
          <w:rFonts w:hint="eastAsia" w:ascii="宋体" w:hAnsi="宋体" w:cs="宋体"/>
          <w:color w:val="auto"/>
          <w:sz w:val="24"/>
          <w:highlight w:val="none"/>
        </w:rPr>
        <w:t>企业生产且使用该</w:t>
      </w:r>
      <w:r>
        <w:rPr>
          <w:rFonts w:hint="eastAsia" w:hAnsi="宋体"/>
          <w:color w:val="auto"/>
          <w:sz w:val="24"/>
          <w:szCs w:val="24"/>
          <w:highlight w:val="none"/>
        </w:rPr>
        <w:t>小微型</w:t>
      </w:r>
      <w:r>
        <w:rPr>
          <w:rFonts w:hint="eastAsia" w:ascii="宋体" w:hAnsi="宋体" w:cs="宋体"/>
          <w:color w:val="auto"/>
          <w:sz w:val="24"/>
          <w:highlight w:val="none"/>
        </w:rPr>
        <w:t>企业商号或者注册商标；</w:t>
      </w:r>
    </w:p>
    <w:p w14:paraId="13F407CC">
      <w:pPr>
        <w:pStyle w:val="489"/>
        <w:keepNext w:val="0"/>
        <w:keepLines w:val="0"/>
        <w:pageBreakBefore w:val="0"/>
        <w:widowControl w:val="0"/>
        <w:shd w:val="clear" w:color="auto" w:fill="auto"/>
        <w:spacing w:line="440" w:lineRule="exact"/>
        <w:ind w:firstLine="360"/>
        <w:rPr>
          <w:rFonts w:hint="eastAsia" w:hAnsi="宋体"/>
          <w:color w:val="auto"/>
          <w:sz w:val="24"/>
          <w:szCs w:val="24"/>
          <w:highlight w:val="none"/>
        </w:rPr>
      </w:pPr>
      <w:r>
        <w:rPr>
          <w:rFonts w:hint="eastAsia" w:hAnsi="宋体"/>
          <w:color w:val="auto"/>
          <w:sz w:val="24"/>
          <w:szCs w:val="24"/>
          <w:highlight w:val="none"/>
        </w:rPr>
        <w:t>（1）本项目对小型和微型企业产品给予20%的扣除价格，用扣除后的价格参与评审。</w:t>
      </w:r>
    </w:p>
    <w:p w14:paraId="3979BF2A">
      <w:pPr>
        <w:pStyle w:val="489"/>
        <w:keepNext w:val="0"/>
        <w:keepLines w:val="0"/>
        <w:pageBreakBefore w:val="0"/>
        <w:widowControl w:val="0"/>
        <w:shd w:val="clear" w:color="auto" w:fill="auto"/>
        <w:spacing w:line="440" w:lineRule="exact"/>
        <w:ind w:firstLine="360"/>
        <w:rPr>
          <w:rFonts w:hint="eastAsia" w:hAnsi="宋体"/>
          <w:color w:val="auto"/>
          <w:sz w:val="24"/>
          <w:szCs w:val="24"/>
          <w:highlight w:val="none"/>
        </w:rPr>
      </w:pPr>
      <w:r>
        <w:rPr>
          <w:rFonts w:hint="eastAsia" w:hAnsi="宋体"/>
          <w:color w:val="auto"/>
          <w:sz w:val="24"/>
          <w:szCs w:val="24"/>
          <w:highlight w:val="none"/>
        </w:rPr>
        <w:t>（2）供应商需按照采购文件的要求提供相应的《企业声明函》。</w:t>
      </w:r>
    </w:p>
    <w:p w14:paraId="6D031714">
      <w:pPr>
        <w:pStyle w:val="489"/>
        <w:keepNext w:val="0"/>
        <w:keepLines w:val="0"/>
        <w:pageBreakBefore w:val="0"/>
        <w:widowControl w:val="0"/>
        <w:shd w:val="clear" w:color="auto" w:fill="auto"/>
        <w:spacing w:line="440" w:lineRule="exact"/>
        <w:ind w:firstLine="360"/>
        <w:rPr>
          <w:rFonts w:hint="eastAsia" w:hAnsi="宋体"/>
          <w:color w:val="auto"/>
          <w:sz w:val="24"/>
          <w:szCs w:val="24"/>
          <w:highlight w:val="none"/>
        </w:rPr>
      </w:pPr>
      <w:r>
        <w:rPr>
          <w:rFonts w:hint="eastAsia" w:hAnsi="宋体"/>
          <w:color w:val="auto"/>
          <w:sz w:val="24"/>
          <w:szCs w:val="24"/>
          <w:highlight w:val="none"/>
        </w:rPr>
        <w:t>（3）企业标准请参照《关于印发中小企业划型标准规定的通知》（工信部联企业[2011]300号）文件规定自行填写。</w:t>
      </w:r>
    </w:p>
    <w:p w14:paraId="6ABEE00B">
      <w:pPr>
        <w:pStyle w:val="489"/>
        <w:keepNext w:val="0"/>
        <w:keepLines w:val="0"/>
        <w:pageBreakBefore w:val="0"/>
        <w:widowControl w:val="0"/>
        <w:shd w:val="clear" w:color="auto" w:fill="auto"/>
        <w:spacing w:line="440" w:lineRule="exact"/>
        <w:ind w:firstLine="360"/>
        <w:rPr>
          <w:rFonts w:hint="eastAsia" w:hAnsi="宋体"/>
          <w:b w:val="0"/>
          <w:bCs w:val="0"/>
          <w:color w:val="auto"/>
          <w:sz w:val="24"/>
          <w:szCs w:val="24"/>
          <w:highlight w:val="none"/>
        </w:rPr>
      </w:pPr>
      <w:r>
        <w:rPr>
          <w:rFonts w:hint="eastAsia" w:hAnsi="宋体"/>
          <w:b w:val="0"/>
          <w:bCs w:val="0"/>
          <w:color w:val="auto"/>
          <w:sz w:val="24"/>
          <w:szCs w:val="24"/>
          <w:highlight w:val="none"/>
        </w:rPr>
        <w:t>（4）在货物采购项目中，供应商提供的货物既有中小企业制造货物，也有大型企业制造货物的，不享受本办法规定的小微企业扶持政策。</w:t>
      </w:r>
    </w:p>
    <w:p w14:paraId="3CD29EA3">
      <w:pPr>
        <w:pStyle w:val="489"/>
        <w:keepNext w:val="0"/>
        <w:keepLines w:val="0"/>
        <w:pageBreakBefore w:val="0"/>
        <w:widowControl w:val="0"/>
        <w:shd w:val="clear" w:color="auto" w:fill="auto"/>
        <w:spacing w:line="440" w:lineRule="exact"/>
        <w:ind w:firstLine="480"/>
        <w:rPr>
          <w:rFonts w:hint="eastAsia" w:hAnsi="宋体"/>
          <w:b w:val="0"/>
          <w:bCs w:val="0"/>
          <w:color w:val="auto"/>
          <w:sz w:val="24"/>
          <w:szCs w:val="24"/>
          <w:highlight w:val="none"/>
        </w:rPr>
      </w:pPr>
      <w:r>
        <w:rPr>
          <w:rFonts w:hint="eastAsia" w:hAnsi="宋体"/>
          <w:b w:val="0"/>
          <w:bCs w:val="0"/>
          <w:color w:val="auto"/>
          <w:sz w:val="24"/>
          <w:szCs w:val="24"/>
          <w:highlight w:val="none"/>
        </w:rPr>
        <w:t>2.残疾人福利单位价格扣除</w:t>
      </w:r>
    </w:p>
    <w:p w14:paraId="64E22ACF">
      <w:pPr>
        <w:pStyle w:val="489"/>
        <w:keepNext w:val="0"/>
        <w:keepLines w:val="0"/>
        <w:pageBreakBefore w:val="0"/>
        <w:widowControl w:val="0"/>
        <w:shd w:val="clear" w:color="auto" w:fill="auto"/>
        <w:spacing w:line="440" w:lineRule="exact"/>
        <w:ind w:left="120" w:firstLine="360"/>
        <w:rPr>
          <w:rFonts w:hint="eastAsia" w:hAnsi="宋体"/>
          <w:color w:val="auto"/>
          <w:sz w:val="24"/>
          <w:szCs w:val="24"/>
          <w:highlight w:val="none"/>
        </w:rPr>
      </w:pPr>
      <w:r>
        <w:rPr>
          <w:rFonts w:hint="eastAsia" w:hAnsi="宋体"/>
          <w:color w:val="auto"/>
          <w:sz w:val="24"/>
          <w:szCs w:val="24"/>
          <w:highlight w:val="none"/>
        </w:rPr>
        <w:t>（1）本项目对残疾人福利性单位视同小型、微型企业，给予20%的价格扣除，用扣除后的价格参与评审。</w:t>
      </w:r>
    </w:p>
    <w:p w14:paraId="36416E5E">
      <w:pPr>
        <w:pStyle w:val="489"/>
        <w:keepNext w:val="0"/>
        <w:keepLines w:val="0"/>
        <w:pageBreakBefore w:val="0"/>
        <w:widowControl w:val="0"/>
        <w:shd w:val="clear" w:color="auto" w:fill="auto"/>
        <w:spacing w:line="440" w:lineRule="exact"/>
        <w:ind w:left="120" w:firstLine="360"/>
        <w:rPr>
          <w:rFonts w:hint="eastAsia" w:hAnsi="宋体"/>
          <w:color w:val="auto"/>
          <w:sz w:val="24"/>
          <w:szCs w:val="24"/>
          <w:highlight w:val="none"/>
        </w:rPr>
      </w:pPr>
      <w:r>
        <w:rPr>
          <w:rFonts w:hint="eastAsia" w:hAnsi="宋体"/>
          <w:color w:val="auto"/>
          <w:sz w:val="24"/>
          <w:szCs w:val="24"/>
          <w:highlight w:val="none"/>
        </w:rPr>
        <w:t>（2）残疾人福利单位需提供《残疾人福利性单位声明函》。</w:t>
      </w:r>
    </w:p>
    <w:p w14:paraId="3583A3B4">
      <w:pPr>
        <w:pStyle w:val="489"/>
        <w:keepNext w:val="0"/>
        <w:keepLines w:val="0"/>
        <w:pageBreakBefore w:val="0"/>
        <w:widowControl w:val="0"/>
        <w:shd w:val="clear" w:color="auto" w:fill="auto"/>
        <w:spacing w:line="440" w:lineRule="exact"/>
        <w:ind w:left="120" w:firstLine="360"/>
        <w:rPr>
          <w:rFonts w:hint="eastAsia" w:hAnsi="宋体"/>
          <w:color w:val="auto"/>
          <w:sz w:val="24"/>
          <w:szCs w:val="24"/>
          <w:highlight w:val="none"/>
        </w:rPr>
      </w:pPr>
      <w:r>
        <w:rPr>
          <w:rFonts w:hint="eastAsia" w:hAnsi="宋体"/>
          <w:color w:val="auto"/>
          <w:sz w:val="24"/>
          <w:szCs w:val="24"/>
          <w:highlight w:val="none"/>
        </w:rPr>
        <w:t>（3）残疾人福利单位标准请参照《关于促进残疾人就业政府采购政策的通知》（财库〔2017〕141号）。</w:t>
      </w:r>
    </w:p>
    <w:p w14:paraId="0754215B">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3.监狱和戒毒企业价格扣除</w:t>
      </w:r>
    </w:p>
    <w:p w14:paraId="4F983697">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（1）本项目对监狱和戒毒企业（简称监狱企业）视同小型、微型企业，给予20%的价格扣除，用扣除后的价格参与评审。</w:t>
      </w:r>
    </w:p>
    <w:p w14:paraId="49F62626">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2CAD095C">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（3）监狱企业标准请参照《关于政府采购支持监狱企业发展有关问题的通知》（财库[2014]68号）。</w:t>
      </w:r>
    </w:p>
    <w:p w14:paraId="5ABBDFE8">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4.残疾人福利单位、监狱企业属于小型、微型企业的，不重复享受政策。</w:t>
      </w:r>
    </w:p>
    <w:p w14:paraId="55F4D67C">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5.政府采购落实绿色采购政策，依据《关于印发&lt;商品包装政府采购需求标准（试行）&gt;、&lt;快递包装政府采购需求标准（试行）&gt;的通知》。</w:t>
      </w:r>
    </w:p>
    <w:p w14:paraId="6909D364">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6.政府采购落实信用报告政策，对提供符合要求信用报告的供应商给予相应优惠政策，依据《关于在政府采购活动中应用第三方信用报告落实“信易购”应用场景的通知》。</w:t>
      </w:r>
    </w:p>
    <w:p w14:paraId="10520F5E">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7.政府采购落实“政采贷”政策，并配合采购人和供应商办理“政采贷”业务。依据《关于深入推进政府采购线上合同信用融资工作的通知》。</w:t>
      </w:r>
    </w:p>
    <w:p w14:paraId="15FEFC2F">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8.依据《关于进一步加强政府采购需求和履约验收管理的指导意见》、《关于印发&lt;商品包装政府采购需求标准（试行）&gt;、&lt;快递包装政府采购需求标准（试行）&gt;的通知》、《关于做好政府采购支持企业发展有关事项的通知》，按照合同规定的技术、服务、安全标准组织对供应商的履约情况进行验收，并出具验收书。验收书应当包括每一项技术、服务、安全标准的履约情况。</w:t>
      </w:r>
    </w:p>
    <w:p w14:paraId="5B310D57">
      <w:pPr>
        <w:pStyle w:val="489"/>
        <w:keepNext w:val="0"/>
        <w:keepLines w:val="0"/>
        <w:pageBreakBefore w:val="0"/>
        <w:widowControl w:val="0"/>
        <w:shd w:val="clear" w:color="auto" w:fill="auto"/>
        <w:spacing w:line="440" w:lineRule="exact"/>
        <w:ind w:firstLine="480"/>
        <w:rPr>
          <w:rFonts w:hint="eastAsia" w:hAnsi="宋体"/>
          <w:color w:val="auto"/>
          <w:sz w:val="24"/>
          <w:szCs w:val="24"/>
          <w:highlight w:val="none"/>
        </w:rPr>
      </w:pPr>
      <w:r>
        <w:rPr>
          <w:rFonts w:hint="eastAsia" w:hAnsi="宋体"/>
          <w:color w:val="auto"/>
          <w:sz w:val="24"/>
          <w:szCs w:val="24"/>
          <w:highlight w:val="none"/>
        </w:rPr>
        <w:t>9.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0937826B">
      <w:pPr>
        <w:pStyle w:val="211"/>
        <w:shd w:val="clear" w:color="auto" w:fill="auto"/>
        <w:rPr>
          <w:rFonts w:hint="eastAsia" w:ascii="宋体" w:hAnsi="宋体" w:cs="宋体"/>
          <w:b/>
          <w:color w:val="auto"/>
          <w:sz w:val="24"/>
          <w:highlight w:val="none"/>
        </w:rPr>
      </w:pPr>
    </w:p>
    <w:p w14:paraId="790E51A5">
      <w:pPr>
        <w:shd w:val="clear" w:color="auto" w:fill="auto"/>
        <w:rPr>
          <w:rFonts w:hint="eastAsia" w:ascii="宋体" w:hAnsi="宋体" w:cs="宋体"/>
          <w:color w:val="auto"/>
          <w:highlight w:val="none"/>
        </w:rPr>
      </w:pPr>
      <w:r>
        <w:rPr>
          <w:rFonts w:hint="eastAsia" w:ascii="宋体" w:hAnsi="宋体" w:cs="宋体"/>
          <w:color w:val="auto"/>
          <w:sz w:val="20"/>
          <w:highlight w:val="none"/>
        </w:rPr>
        <w:t xml:space="preserve"> </w:t>
      </w:r>
    </w:p>
    <w:p w14:paraId="27D078C3">
      <w:pPr>
        <w:numPr>
          <w:ilvl w:val="0"/>
          <w:numId w:val="10"/>
        </w:numPr>
        <w:shd w:val="clear" w:color="auto" w:fill="auto"/>
        <w:jc w:val="center"/>
        <w:outlineLvl w:val="0"/>
        <w:rPr>
          <w:rFonts w:hint="eastAsia"/>
          <w:b/>
          <w:color w:val="auto"/>
          <w:sz w:val="44"/>
          <w:szCs w:val="44"/>
          <w:highlight w:val="none"/>
        </w:rPr>
      </w:pPr>
      <w:bookmarkStart w:id="68" w:name="EBae7807b0bcbc478ea1f502c8f1955356"/>
      <w:bookmarkEnd w:id="68"/>
      <w:bookmarkStart w:id="69" w:name="_Toc514054481"/>
      <w:r>
        <w:rPr>
          <w:rFonts w:hint="eastAsia"/>
          <w:b/>
          <w:color w:val="auto"/>
          <w:sz w:val="44"/>
          <w:szCs w:val="44"/>
          <w:highlight w:val="none"/>
        </w:rPr>
        <w:br w:type="page" w:clear="all"/>
      </w:r>
      <w:bookmarkStart w:id="70" w:name="_Toc1505"/>
      <w:r>
        <w:rPr>
          <w:b/>
          <w:color w:val="auto"/>
          <w:sz w:val="44"/>
          <w:szCs w:val="44"/>
          <w:highlight w:val="none"/>
        </w:rPr>
        <w:t xml:space="preserve"> </w:t>
      </w:r>
      <w:r>
        <w:rPr>
          <w:rFonts w:hint="eastAsia"/>
          <w:b/>
          <w:color w:val="auto"/>
          <w:sz w:val="44"/>
          <w:szCs w:val="44"/>
          <w:highlight w:val="none"/>
        </w:rPr>
        <w:t>采购需求</w:t>
      </w:r>
      <w:bookmarkEnd w:id="69"/>
      <w:bookmarkEnd w:id="70"/>
    </w:p>
    <w:p w14:paraId="1E1C7C3E">
      <w:pPr>
        <w:numPr>
          <w:ilvl w:val="0"/>
          <w:numId w:val="0"/>
        </w:numPr>
        <w:shd w:val="clear" w:color="auto" w:fill="auto"/>
        <w:jc w:val="both"/>
        <w:outlineLvl w:val="0"/>
        <w:rPr>
          <w:rFonts w:eastAsia="宋体"/>
          <w:b/>
          <w:color w:val="auto"/>
          <w:sz w:val="32"/>
          <w:szCs w:val="32"/>
          <w:highlight w:val="none"/>
        </w:rPr>
      </w:pPr>
      <w:r>
        <w:rPr>
          <w:rFonts w:hint="eastAsia" w:ascii="宋体" w:hAnsi="宋体" w:eastAsia="宋体" w:cs="Times New Roman"/>
          <w:b/>
          <w:color w:val="auto"/>
          <w:sz w:val="32"/>
          <w:szCs w:val="32"/>
          <w:highlight w:val="none"/>
          <w:lang w:val="en-US" w:eastAsia="zh-CN"/>
        </w:rPr>
        <w:t>【一】 采购需求一览表</w:t>
      </w:r>
    </w:p>
    <w:tbl>
      <w:tblPr>
        <w:tblStyle w:val="31"/>
        <w:tblW w:w="6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2184"/>
        <w:gridCol w:w="900"/>
        <w:gridCol w:w="1008"/>
        <w:gridCol w:w="1092"/>
        <w:gridCol w:w="1272"/>
      </w:tblGrid>
      <w:tr w14:paraId="14210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528" w:type="dxa"/>
            <w:noWrap/>
            <w:vAlign w:val="center"/>
          </w:tcPr>
          <w:p w14:paraId="57C96BE9">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包号</w:t>
            </w:r>
          </w:p>
        </w:tc>
        <w:tc>
          <w:tcPr>
            <w:tcW w:w="2184" w:type="dxa"/>
            <w:noWrap/>
            <w:vAlign w:val="center"/>
          </w:tcPr>
          <w:p w14:paraId="569B98AA">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设备名称</w:t>
            </w:r>
          </w:p>
        </w:tc>
        <w:tc>
          <w:tcPr>
            <w:tcW w:w="900" w:type="dxa"/>
            <w:noWrap w:val="0"/>
            <w:vAlign w:val="center"/>
          </w:tcPr>
          <w:p w14:paraId="58862126">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数量</w:t>
            </w:r>
          </w:p>
          <w:p w14:paraId="071CF84A">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（台）</w:t>
            </w:r>
          </w:p>
        </w:tc>
        <w:tc>
          <w:tcPr>
            <w:tcW w:w="1008" w:type="dxa"/>
            <w:noWrap/>
            <w:vAlign w:val="center"/>
          </w:tcPr>
          <w:p w14:paraId="1E052779">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质保期</w:t>
            </w:r>
          </w:p>
        </w:tc>
        <w:tc>
          <w:tcPr>
            <w:tcW w:w="1092" w:type="dxa"/>
            <w:noWrap w:val="0"/>
            <w:vAlign w:val="center"/>
          </w:tcPr>
          <w:p w14:paraId="1B5F1274">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交货期</w:t>
            </w:r>
          </w:p>
          <w:p w14:paraId="3ABD4F51">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(天)</w:t>
            </w:r>
          </w:p>
        </w:tc>
        <w:tc>
          <w:tcPr>
            <w:tcW w:w="1272" w:type="dxa"/>
            <w:noWrap w:val="0"/>
            <w:vAlign w:val="center"/>
          </w:tcPr>
          <w:p w14:paraId="74DDE605">
            <w:pPr>
              <w:keepNext w:val="0"/>
              <w:keepLines w:val="0"/>
              <w:widowControl/>
              <w:suppressLineNumbers w:val="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是否接受进口产品投标</w:t>
            </w:r>
          </w:p>
        </w:tc>
      </w:tr>
      <w:tr w14:paraId="2E788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528" w:type="dxa"/>
            <w:noWrap/>
            <w:vAlign w:val="center"/>
          </w:tcPr>
          <w:p w14:paraId="3AA0FBC4">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w:t>
            </w:r>
          </w:p>
        </w:tc>
        <w:tc>
          <w:tcPr>
            <w:tcW w:w="2184" w:type="dxa"/>
            <w:noWrap w:val="0"/>
            <w:vAlign w:val="center"/>
          </w:tcPr>
          <w:p w14:paraId="6245E26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皮肤影像分析仪</w:t>
            </w:r>
          </w:p>
        </w:tc>
        <w:tc>
          <w:tcPr>
            <w:tcW w:w="900" w:type="dxa"/>
            <w:noWrap w:val="0"/>
            <w:vAlign w:val="center"/>
          </w:tcPr>
          <w:p w14:paraId="230B3AE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1</w:t>
            </w:r>
          </w:p>
        </w:tc>
        <w:tc>
          <w:tcPr>
            <w:tcW w:w="1008" w:type="dxa"/>
            <w:noWrap/>
            <w:vAlign w:val="center"/>
          </w:tcPr>
          <w:p w14:paraId="63DE082C">
            <w:pPr>
              <w:keepNext w:val="0"/>
              <w:keepLines w:val="0"/>
              <w:widowControl/>
              <w:suppressLineNumbers w:val="0"/>
              <w:jc w:val="center"/>
              <w:rPr>
                <w:rFonts w:hint="default"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3年</w:t>
            </w:r>
          </w:p>
        </w:tc>
        <w:tc>
          <w:tcPr>
            <w:tcW w:w="1092" w:type="dxa"/>
            <w:noWrap/>
            <w:vAlign w:val="center"/>
          </w:tcPr>
          <w:p w14:paraId="1E3E45B0">
            <w:pPr>
              <w:keepNext w:val="0"/>
              <w:keepLines w:val="0"/>
              <w:widowControl/>
              <w:suppressLineNumbers w:val="0"/>
              <w:jc w:val="center"/>
              <w:rPr>
                <w:rFonts w:hint="default"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90</w:t>
            </w:r>
          </w:p>
        </w:tc>
        <w:tc>
          <w:tcPr>
            <w:tcW w:w="1272" w:type="dxa"/>
            <w:noWrap/>
            <w:vAlign w:val="center"/>
          </w:tcPr>
          <w:p w14:paraId="04C6889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是</w:t>
            </w:r>
          </w:p>
        </w:tc>
      </w:tr>
    </w:tbl>
    <w:p w14:paraId="12F61F3C">
      <w:pPr>
        <w:rPr>
          <w:rFonts w:hint="eastAsia"/>
          <w:color w:val="auto"/>
          <w:highlight w:val="none"/>
        </w:rPr>
      </w:pPr>
    </w:p>
    <w:p w14:paraId="61C6333A">
      <w:pPr>
        <w:rPr>
          <w:rFonts w:hint="eastAsia" w:ascii="宋体" w:hAnsi="宋体" w:eastAsia="宋体" w:cs="宋体"/>
          <w:b/>
          <w:bCs/>
          <w:color w:val="auto"/>
          <w:sz w:val="24"/>
          <w:szCs w:val="24"/>
          <w:highlight w:val="none"/>
        </w:rPr>
      </w:pPr>
      <w:bookmarkStart w:id="71" w:name="_Toc9306"/>
      <w:bookmarkStart w:id="72" w:name="_Toc514054482"/>
    </w:p>
    <w:p w14:paraId="1012562C">
      <w:pPr>
        <w:keepNext w:val="0"/>
        <w:keepLines w:val="0"/>
        <w:pageBreakBefore w:val="0"/>
        <w:widowControl w:val="0"/>
        <w:spacing w:line="360" w:lineRule="auto"/>
        <w:rPr>
          <w:rFonts w:hint="eastAsia" w:ascii="宋体" w:hAnsi="宋体" w:eastAsia="宋体" w:cs="宋体"/>
          <w:color w:val="auto"/>
          <w:sz w:val="24"/>
          <w:szCs w:val="24"/>
        </w:rPr>
      </w:pPr>
    </w:p>
    <w:p w14:paraId="6DA83E4B">
      <w:pPr>
        <w:keepNext w:val="0"/>
        <w:keepLines w:val="0"/>
        <w:pageBreakBefore w:val="0"/>
        <w:widowControl w:val="0"/>
        <w:spacing w:line="360" w:lineRule="auto"/>
        <w:rPr>
          <w:rFonts w:hint="eastAsia" w:ascii="宋体" w:hAnsi="宋体" w:eastAsia="宋体" w:cs="宋体"/>
          <w:b/>
          <w:bCs/>
          <w:color w:val="auto"/>
          <w:sz w:val="28"/>
          <w:szCs w:val="28"/>
          <w:highlight w:val="cyan"/>
        </w:rPr>
      </w:pPr>
      <w:r>
        <w:rPr>
          <w:rFonts w:hint="eastAsia" w:ascii="宋体" w:hAnsi="宋体" w:eastAsia="宋体" w:cs="宋体"/>
          <w:b/>
          <w:bCs/>
          <w:color w:val="auto"/>
          <w:sz w:val="28"/>
          <w:szCs w:val="28"/>
          <w:highlight w:val="cyan"/>
          <w:lang w:val="en-US" w:eastAsia="zh-CN"/>
        </w:rPr>
        <w:t>皮肤影像分析仪</w:t>
      </w:r>
      <w:r>
        <w:rPr>
          <w:rFonts w:hint="eastAsia" w:ascii="宋体" w:hAnsi="宋体" w:cs="宋体"/>
          <w:b/>
          <w:bCs/>
          <w:color w:val="auto"/>
          <w:sz w:val="28"/>
          <w:szCs w:val="28"/>
          <w:highlight w:val="cyan"/>
          <w:lang w:val="en-US" w:eastAsia="zh-CN"/>
        </w:rPr>
        <w:t>：</w:t>
      </w:r>
    </w:p>
    <w:p w14:paraId="39976BA5">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、系统内配置4个拍照光源：</w:t>
      </w:r>
    </w:p>
    <w:p w14:paraId="575FC0C7">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标准荧光相机</w:t>
      </w:r>
    </w:p>
    <w:p w14:paraId="612C7135">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偏振光相机</w:t>
      </w:r>
    </w:p>
    <w:p w14:paraId="282140C3">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可调氙气灯相机</w:t>
      </w:r>
    </w:p>
    <w:p w14:paraId="7DD22B0D">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紫外光相机</w:t>
      </w:r>
    </w:p>
    <w:p w14:paraId="1A85BFB6">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、系统能自动对焦，自动进行白平衡校正</w:t>
      </w:r>
    </w:p>
    <w:p w14:paraId="1735FE7C">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、相机分辨率为</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2400万像素</w:t>
      </w:r>
    </w:p>
    <w:p w14:paraId="019C7F88">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、能存储和量化分析皮肤表面和皮下斑点（黑色和棕色）</w:t>
      </w:r>
    </w:p>
    <w:p w14:paraId="076158EA">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、能存储和量化分析皮肤血管性病变</w:t>
      </w:r>
    </w:p>
    <w:p w14:paraId="4C7B52E2">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、能存储和量化分析皮肤皱纹</w:t>
      </w:r>
    </w:p>
    <w:p w14:paraId="473A1B63">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、能存储和量化分析皮肤质地</w:t>
      </w:r>
    </w:p>
    <w:p w14:paraId="6FC98287">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、能存储和量化分析皮肤油脂分泌</w:t>
      </w:r>
    </w:p>
    <w:p w14:paraId="312CFBF9">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、能进行局部皮肤三维分析</w:t>
      </w:r>
    </w:p>
    <w:p w14:paraId="2050EF3E">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、能进行同龄人皮肤斑点、血管性病变、皱纹、质地和油脂分泌等指标比较，判断跟同龄人相比的皮肤状况</w:t>
      </w:r>
    </w:p>
    <w:p w14:paraId="4779FCDA">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、能测度皮肤年龄</w:t>
      </w:r>
    </w:p>
    <w:p w14:paraId="1C63C704">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、能检测皮肤肤色类型</w:t>
      </w:r>
    </w:p>
    <w:p w14:paraId="7486E0BE">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、能预测皮肤发展趋势</w:t>
      </w:r>
    </w:p>
    <w:p w14:paraId="22C53EF5">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、能模拟皮肤18到80的衰老情况</w:t>
      </w:r>
    </w:p>
    <w:p w14:paraId="43ECDD76">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、能模拟皮肤注射填充或提升紧致后的效果</w:t>
      </w:r>
    </w:p>
    <w:p w14:paraId="5AFA6B92">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、RBX图相处理技术</w:t>
      </w:r>
    </w:p>
    <w:p w14:paraId="57FFFDC4">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、多光谱局部或全面部放大镜功能查看皮肤状况</w:t>
      </w:r>
    </w:p>
    <w:p w14:paraId="1D5F375A">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、皮肤肤色类型分析：自动扫描分析病人的皮肤并进行肤色类型的区分，便于图像处理和特征分析</w:t>
      </w:r>
    </w:p>
    <w:p w14:paraId="1C47BCD2">
      <w:pPr>
        <w:keepNext w:val="0"/>
        <w:keepLines w:val="0"/>
        <w:pageBreakBefore w:val="0"/>
        <w:widowControl w:val="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19</w:t>
      </w:r>
      <w:r>
        <w:rPr>
          <w:rFonts w:hint="eastAsia" w:ascii="宋体" w:hAnsi="宋体" w:eastAsia="宋体" w:cs="宋体"/>
          <w:b w:val="0"/>
          <w:bCs w:val="0"/>
          <w:color w:val="auto"/>
          <w:sz w:val="24"/>
          <w:szCs w:val="24"/>
          <w:highlight w:val="none"/>
        </w:rPr>
        <w:t>、能与电脑相连，输出和打印分析图片和数据</w:t>
      </w:r>
    </w:p>
    <w:p w14:paraId="73F70E96">
      <w:pPr>
        <w:keepNext w:val="0"/>
        <w:keepLines w:val="0"/>
        <w:pageBreakBefore w:val="0"/>
        <w:widowControl w:val="0"/>
        <w:spacing w:line="360" w:lineRule="auto"/>
        <w:rPr>
          <w:rFonts w:hint="eastAsia" w:ascii="宋体" w:hAnsi="宋体" w:eastAsia="宋体" w:cs="宋体"/>
          <w:color w:val="auto"/>
          <w:sz w:val="24"/>
          <w:szCs w:val="24"/>
        </w:rPr>
      </w:pPr>
    </w:p>
    <w:p w14:paraId="19F55ED5">
      <w:pPr>
        <w:keepNext w:val="0"/>
        <w:keepLines w:val="0"/>
        <w:pageBreakBefore w:val="0"/>
        <w:widowControl w:val="0"/>
        <w:spacing w:line="360" w:lineRule="auto"/>
        <w:rPr>
          <w:rFonts w:hint="eastAsia" w:ascii="宋体" w:hAnsi="宋体" w:eastAsia="宋体" w:cs="宋体"/>
          <w:color w:val="auto"/>
          <w:sz w:val="24"/>
          <w:szCs w:val="24"/>
        </w:rPr>
      </w:pPr>
    </w:p>
    <w:p w14:paraId="481849FC">
      <w:pPr>
        <w:shd w:val="clear" w:color="auto" w:fill="auto"/>
        <w:rPr>
          <w:rFonts w:hint="eastAsia" w:ascii="宋体" w:hAnsi="宋体" w:eastAsia="宋体" w:cs="宋体"/>
          <w:b/>
          <w:color w:val="auto"/>
          <w:sz w:val="24"/>
          <w:szCs w:val="24"/>
          <w:highlight w:val="none"/>
        </w:rPr>
      </w:pPr>
    </w:p>
    <w:p w14:paraId="5408F42D">
      <w:pPr>
        <w:shd w:val="clear" w:color="auto" w:fill="auto"/>
        <w:rPr>
          <w:rFonts w:hint="eastAsia" w:ascii="宋体" w:hAnsi="宋体" w:eastAsia="宋体" w:cs="宋体"/>
          <w:b/>
          <w:color w:val="auto"/>
          <w:sz w:val="24"/>
          <w:szCs w:val="24"/>
          <w:highlight w:val="none"/>
        </w:rPr>
      </w:pPr>
    </w:p>
    <w:p w14:paraId="7EC68372">
      <w:pPr>
        <w:keepNext w:val="0"/>
        <w:keepLines w:val="0"/>
        <w:pageBreakBefore w:val="0"/>
        <w:spacing w:line="360" w:lineRule="auto"/>
        <w:jc w:val="left"/>
        <w:rPr>
          <w:rFonts w:hint="eastAsia" w:ascii="宋体" w:hAnsi="宋体" w:eastAsia="宋体" w:cs="宋体"/>
          <w:b/>
          <w:color w:val="auto"/>
          <w:sz w:val="28"/>
          <w:szCs w:val="28"/>
          <w:highlight w:val="none"/>
        </w:rPr>
      </w:pPr>
      <w:r>
        <w:rPr>
          <w:rFonts w:hint="eastAsia" w:ascii="宋体" w:hAnsi="宋体" w:eastAsia="宋体" w:cs="Times New Roman"/>
          <w:b/>
          <w:color w:val="auto"/>
          <w:sz w:val="32"/>
          <w:szCs w:val="32"/>
          <w:highlight w:val="none"/>
          <w:lang w:val="en-US" w:eastAsia="zh-CN"/>
        </w:rPr>
        <w:t>【二】其他要求</w:t>
      </w:r>
      <w:r>
        <w:rPr>
          <w:rFonts w:hint="eastAsia" w:ascii="宋体" w:hAnsi="宋体" w:eastAsia="宋体" w:cs="宋体"/>
          <w:b/>
          <w:color w:val="auto"/>
          <w:sz w:val="28"/>
          <w:szCs w:val="28"/>
          <w:highlight w:val="none"/>
          <w:lang w:val="en-US" w:eastAsia="zh-CN"/>
        </w:rPr>
        <w:t xml:space="preserve">   </w:t>
      </w:r>
    </w:p>
    <w:p w14:paraId="168B8811">
      <w:pPr>
        <w:widowControl/>
        <w:numPr>
          <w:ilvl w:val="0"/>
          <w:numId w:val="0"/>
        </w:numPr>
        <w:shd w:val="clear" w:color="auto" w:fill="FFFFFF"/>
        <w:spacing w:line="300" w:lineRule="auto"/>
        <w:ind w:firstLine="480"/>
        <w:contextualSpacing/>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1. 签定合同日期：自中标通知书发出之日起30日内。</w:t>
      </w:r>
    </w:p>
    <w:p w14:paraId="475E771D">
      <w:pPr>
        <w:pStyle w:val="409"/>
        <w:spacing w:before="120" w:after="120"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2.交货期：</w:t>
      </w:r>
      <w:r>
        <w:rPr>
          <w:rFonts w:hint="eastAsia" w:ascii="宋体" w:hAnsi="宋体" w:eastAsia="宋体" w:cs="宋体"/>
          <w:color w:val="auto"/>
          <w:sz w:val="24"/>
          <w:szCs w:val="24"/>
          <w:highlight w:val="none"/>
          <w:shd w:val="clear" w:color="auto" w:fill="auto"/>
        </w:rPr>
        <w:t>签订合同后为</w:t>
      </w:r>
      <w:r>
        <w:rPr>
          <w:rFonts w:hint="eastAsia"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lang w:val="en-US" w:eastAsia="zh-CN"/>
        </w:rPr>
        <w:t>个月</w:t>
      </w:r>
      <w:r>
        <w:rPr>
          <w:rFonts w:hint="eastAsia" w:ascii="宋体" w:hAnsi="宋体" w:eastAsia="宋体" w:cs="宋体"/>
          <w:color w:val="auto"/>
          <w:sz w:val="24"/>
          <w:szCs w:val="24"/>
          <w:highlight w:val="none"/>
          <w:shd w:val="clear" w:color="auto" w:fill="auto"/>
        </w:rPr>
        <w:t>内完成供货、安装、调试</w:t>
      </w:r>
      <w:r>
        <w:rPr>
          <w:rFonts w:hint="eastAsia" w:ascii="宋体" w:hAnsi="宋体" w:eastAsia="宋体" w:cs="宋体"/>
          <w:color w:val="auto"/>
          <w:sz w:val="24"/>
          <w:szCs w:val="24"/>
          <w:highlight w:val="none"/>
          <w:shd w:val="clear" w:color="auto" w:fill="auto"/>
          <w:lang w:val="en-US" w:eastAsia="zh-CN"/>
        </w:rPr>
        <w:t>。</w:t>
      </w:r>
    </w:p>
    <w:p w14:paraId="52C4EFBB">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3.付款方式</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根据采购文件具体需求，付款方式分别如下</w:t>
      </w:r>
      <w:r>
        <w:rPr>
          <w:rFonts w:hint="eastAsia" w:ascii="宋体" w:hAnsi="宋体" w:eastAsia="宋体" w:cs="宋体"/>
          <w:color w:val="auto"/>
          <w:sz w:val="24"/>
          <w:szCs w:val="24"/>
          <w:highlight w:val="none"/>
          <w:shd w:val="clear" w:color="auto" w:fill="auto"/>
          <w:lang w:eastAsia="zh-CN"/>
        </w:rPr>
        <w:t>）</w:t>
      </w:r>
    </w:p>
    <w:p w14:paraId="732878F9">
      <w:pPr>
        <w:keepNext w:val="0"/>
        <w:keepLines w:val="0"/>
        <w:pageBreakBefore w:val="0"/>
        <w:widowControl/>
        <w:shd w:val="clear" w:color="auto" w:fill="FFFFFF"/>
        <w:tabs>
          <w:tab w:val="left" w:pos="630"/>
        </w:tabs>
        <w:spacing w:line="360" w:lineRule="auto"/>
        <w:ind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签订合同后采购人支付合同金额的30%作为预付款，验收合格支付至合同金额的50%，验收满一年支付至合同金额的70%，满两年支付至合同金额的85%，满三年支付至合同金额的100%。</w:t>
      </w:r>
    </w:p>
    <w:p w14:paraId="5BB8099D">
      <w:pPr>
        <w:tabs>
          <w:tab w:val="left" w:pos="900"/>
        </w:tabs>
        <w:spacing w:after="145" w:line="48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注：中标供应商在采购人支付预付款前，必须提供预付款同等金额的银行保函，以确保采购人的资金安全。该保函必须是无条件即索即兑的银行保函，保函有效期为签订合同后6个月，保函开具行必须为采购人指定行，且须完全符合采购人要求。如中标供应商未按上述要求在签订合同前15日内提供银行保函，则视为中标供应商无条件放弃预付款，付款方式调整为采购人验收合格后直接支付至合同金额的50%。</w:t>
      </w:r>
    </w:p>
    <w:p w14:paraId="081DF563">
      <w:pPr>
        <w:spacing w:before="120" w:after="120"/>
        <w:ind w:left="497" w:hanging="7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4.质保期限（自交货并验收合格之日起计）</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根据采购文件具体需求</w:t>
      </w:r>
    </w:p>
    <w:p w14:paraId="3887F149">
      <w:pPr>
        <w:spacing w:line="50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5.后期项目验收：严格根据采购文件、投标文件以及国家相关规定、标准进行验收，在规定期限内提供服务，且完全满足采购文件技术要求。</w:t>
      </w:r>
    </w:p>
    <w:p w14:paraId="6F69B5EA">
      <w:pPr>
        <w:spacing w:line="50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6、售后服务及其他（含安装、调试、维护等）</w:t>
      </w:r>
    </w:p>
    <w:p w14:paraId="3421F222">
      <w:pPr>
        <w:spacing w:line="50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6.1免费质保期内提供7×24小时服务，接到故障报修后1小时内做出响应，24小时内应派专业技术人员到达现场。一般故障 4 小时内解决；重大故障24小时内解决；如在48小时内无法排除故障的，须免费提供原厂同等配置的备用货物以保证招标人货物的正常运行。若未能在规定的时间内进行响应和解决货物故障的，招标人有权自行处理，所产生的费用和风险由中标人承担，其费用在合同款中扣除。投标人需提供售后服务方案，售后服务方案内容至少应包括现场服务、定期巡检、故障服务等内容。</w:t>
      </w:r>
    </w:p>
    <w:p w14:paraId="41399268">
      <w:pPr>
        <w:spacing w:line="50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6.2投标人负责完成货物安装、调试、运行和验收交付等工作。投标人应提供详细、可行的项目实施及应急处理方案，并根据项目进度详细列出各个阶段采购人需要配合的内容。</w:t>
      </w:r>
    </w:p>
    <w:p w14:paraId="207273EC">
      <w:pPr>
        <w:spacing w:line="50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6.3投标人应提供培训计划（包括临床使用培训，工程师维修保养培训），培训内容为本货物系统操作及常见问题处理，确保使用人员具备独立工作的能力。</w:t>
      </w:r>
    </w:p>
    <w:p w14:paraId="21900870">
      <w:pPr>
        <w:pStyle w:val="630"/>
        <w:numPr>
          <w:ilvl w:val="0"/>
          <w:numId w:val="0"/>
        </w:numPr>
        <w:spacing w:line="500" w:lineRule="exact"/>
        <w:ind w:left="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bidi="ar-SA"/>
        </w:rPr>
        <w:t>7、货物如</w:t>
      </w:r>
      <w:r>
        <w:rPr>
          <w:rFonts w:hint="eastAsia" w:ascii="宋体" w:hAnsi="宋体" w:eastAsia="宋体" w:cs="宋体"/>
          <w:color w:val="auto"/>
          <w:sz w:val="24"/>
          <w:szCs w:val="24"/>
          <w:highlight w:val="none"/>
          <w:shd w:val="clear" w:color="auto" w:fill="auto"/>
          <w:lang w:val="en-US" w:eastAsia="zh-CN"/>
        </w:rPr>
        <w:t>需第三方出具检测或验收报告的，所产生的相关费用由中标人承担。</w:t>
      </w:r>
    </w:p>
    <w:p w14:paraId="3A720192">
      <w:pPr>
        <w:spacing w:before="120" w:after="120"/>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8、如货物需与采购人信息化系统做接口，由中标人与信息化系统单位联系，根据信息化需求完成系统对接，所产生的费用由中标人承担</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如采购人有其他系统需安装投入，中标人须无条件免费开放接口接入。</w:t>
      </w:r>
    </w:p>
    <w:p w14:paraId="55DE7C6B">
      <w:pPr>
        <w:pStyle w:val="630"/>
        <w:numPr>
          <w:ilvl w:val="0"/>
          <w:numId w:val="0"/>
        </w:numPr>
        <w:spacing w:line="500" w:lineRule="exact"/>
        <w:ind w:firstLine="480"/>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9、货物验收合格交付采购人之前的所有风险由中标人承担 。</w:t>
      </w:r>
    </w:p>
    <w:p w14:paraId="241F925D">
      <w:pPr>
        <w:numPr>
          <w:ilvl w:val="0"/>
          <w:numId w:val="0"/>
        </w:numPr>
        <w:shd w:val="clear" w:color="auto" w:fill="auto"/>
        <w:jc w:val="both"/>
        <w:outlineLvl w:val="0"/>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rPr>
        <w:t>【三】质量要求：</w:t>
      </w:r>
    </w:p>
    <w:p w14:paraId="3374F96E">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.1.质量等级为“合格”,并符合招标文件中技术要求、国家现行的相关规范标准及有关部门颁布的较高标准；项目确保按规范和标准验收，且达国家合格标准。</w:t>
      </w:r>
    </w:p>
    <w:p w14:paraId="2D00F05E">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2.投标单位不能简单照搬招标文件提供的需求，必须按招标文件技术规格逐项作出实质性应答，如照搬照抄项目需求中的技术的，中标后投标供应商在同采购人签订合同和履约环节中不得提出异议，一切后果和损失由</w:t>
      </w:r>
      <w:r>
        <w:rPr>
          <w:rFonts w:hint="eastAsia" w:ascii="宋体" w:hAnsi="宋体" w:eastAsia="宋体" w:cs="宋体"/>
          <w:color w:val="auto"/>
          <w:sz w:val="24"/>
          <w:szCs w:val="24"/>
          <w:highlight w:val="none"/>
          <w:shd w:val="clear" w:color="auto" w:fill="auto"/>
          <w:lang w:val="en-US" w:eastAsia="zh-CN"/>
        </w:rPr>
        <w:t>中标供应商</w:t>
      </w:r>
      <w:r>
        <w:rPr>
          <w:rFonts w:hint="eastAsia" w:ascii="宋体" w:hAnsi="宋体" w:eastAsia="宋体" w:cs="宋体"/>
          <w:color w:val="auto"/>
          <w:sz w:val="24"/>
          <w:szCs w:val="24"/>
          <w:highlight w:val="none"/>
          <w:shd w:val="clear" w:color="auto" w:fill="auto"/>
        </w:rPr>
        <w:t>承担。</w:t>
      </w:r>
    </w:p>
    <w:p w14:paraId="3D131ED9">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.3.投标人须明确所投设备的生产厂家、品牌、型号、规格等。</w:t>
      </w:r>
    </w:p>
    <w:p w14:paraId="5F3763F9">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 xml:space="preserve">.4.投标人应保证货物是全新、未使用过的原厂合格产品，并完全符合招标文件规定的质量、规格和参数的要求。验收过程中发现产品不符合上述要求的，将视作不合格产品，使用方有权终止合同，造成的一切损失由供应商承担。 </w:t>
      </w:r>
    </w:p>
    <w:p w14:paraId="13D0D586">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.5.投标人应保证提供的产品不得侵犯第三方专利权、商标权和设计权、版权等。否则，供应商应负全部责任，并承担由此引起的一切后果。</w:t>
      </w:r>
    </w:p>
    <w:p w14:paraId="7CE74E73">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.6.投标人应保证其货物在正确安装、正常使用下，在其使用寿命期内应具有满意的性能。</w:t>
      </w:r>
    </w:p>
    <w:p w14:paraId="32EF2E7E">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.7.投标人应采取必要的安全措施保证货物的运输及安装的安全，并承担货物的运输及安装过程中产生的风险。</w:t>
      </w:r>
    </w:p>
    <w:p w14:paraId="25A97327">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.8.所有报价的产品的各项技术标准应当符合现行相关生产标准和规范及招标文件的要求。</w:t>
      </w:r>
    </w:p>
    <w:p w14:paraId="041AF4E0">
      <w:pPr>
        <w:keepNext w:val="0"/>
        <w:keepLines w:val="0"/>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shd w:val="clear" w:color="auto" w:fill="auto"/>
        </w:rPr>
        <w:t>.招标人将邀请专业人员，对安装到位的设备进行全面检查，发现使用不符合要求的产品，无条件更换，另交监管部门处理。</w:t>
      </w:r>
    </w:p>
    <w:p w14:paraId="6AF2CE65">
      <w:pPr>
        <w:keepNext w:val="0"/>
        <w:keepLines w:val="0"/>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10</w:t>
      </w:r>
      <w:r>
        <w:rPr>
          <w:rFonts w:hint="eastAsia" w:ascii="宋体" w:hAnsi="宋体" w:eastAsia="宋体" w:cs="宋体"/>
          <w:color w:val="auto"/>
          <w:sz w:val="24"/>
          <w:szCs w:val="24"/>
          <w:highlight w:val="none"/>
          <w:shd w:val="clear" w:color="auto" w:fill="auto"/>
        </w:rPr>
        <w:t>.</w:t>
      </w:r>
      <w:r>
        <w:rPr>
          <w:rFonts w:hint="eastAsia" w:ascii="宋体" w:hAnsi="宋体" w:eastAsia="宋体" w:cs="Cambria"/>
          <w:color w:val="auto"/>
          <w:sz w:val="24"/>
          <w:szCs w:val="24"/>
          <w:highlight w:val="none"/>
          <w:shd w:val="clear" w:color="auto" w:fill="auto"/>
          <w:lang w:val="en-US" w:eastAsia="zh-CN" w:bidi="ar-SA"/>
        </w:rPr>
        <w:t>投标人</w:t>
      </w:r>
      <w:r>
        <w:rPr>
          <w:rFonts w:hint="eastAsia" w:ascii="宋体" w:hAnsi="宋体" w:eastAsia="宋体" w:cs="宋体"/>
          <w:color w:val="auto"/>
          <w:sz w:val="24"/>
          <w:szCs w:val="24"/>
          <w:highlight w:val="none"/>
          <w:shd w:val="clear" w:color="auto" w:fill="auto"/>
          <w:lang w:val="en-US" w:eastAsia="zh-CN"/>
        </w:rPr>
        <w:t>提供的货物及服务必须按照采购人要求接入医院HIS系统或其他数据接入及提取系统，上述接入费用由</w:t>
      </w:r>
      <w:r>
        <w:rPr>
          <w:rFonts w:hint="eastAsia" w:ascii="宋体" w:hAnsi="宋体" w:eastAsia="宋体" w:cs="Cambria"/>
          <w:color w:val="auto"/>
          <w:sz w:val="24"/>
          <w:szCs w:val="24"/>
          <w:highlight w:val="none"/>
          <w:shd w:val="clear" w:color="auto" w:fill="auto"/>
          <w:lang w:val="en-US" w:eastAsia="zh-CN" w:bidi="ar-SA"/>
        </w:rPr>
        <w:t>投标人</w:t>
      </w:r>
      <w:r>
        <w:rPr>
          <w:rFonts w:hint="eastAsia" w:ascii="宋体" w:hAnsi="宋体" w:eastAsia="宋体" w:cs="宋体"/>
          <w:color w:val="auto"/>
          <w:sz w:val="24"/>
          <w:szCs w:val="24"/>
          <w:highlight w:val="none"/>
          <w:shd w:val="clear" w:color="auto" w:fill="auto"/>
          <w:lang w:val="en-US" w:eastAsia="zh-CN"/>
        </w:rPr>
        <w:t>承担。如</w:t>
      </w:r>
      <w:r>
        <w:rPr>
          <w:rFonts w:hint="eastAsia" w:ascii="宋体" w:hAnsi="宋体" w:eastAsia="宋体" w:cs="宋体"/>
          <w:color w:val="auto"/>
          <w:sz w:val="24"/>
          <w:szCs w:val="24"/>
          <w:highlight w:val="none"/>
          <w:shd w:val="clear" w:color="auto" w:fill="auto"/>
          <w:lang w:val="en-US" w:eastAsia="zh-CN" w:bidi="ar-SA"/>
        </w:rPr>
        <w:t>中标供应商</w:t>
      </w:r>
      <w:r>
        <w:rPr>
          <w:rFonts w:hint="eastAsia" w:ascii="宋体" w:hAnsi="宋体" w:eastAsia="宋体" w:cs="宋体"/>
          <w:color w:val="auto"/>
          <w:sz w:val="24"/>
          <w:szCs w:val="24"/>
          <w:highlight w:val="none"/>
          <w:shd w:val="clear" w:color="auto" w:fill="auto"/>
          <w:lang w:val="en-US" w:eastAsia="zh-CN"/>
        </w:rPr>
        <w:t>未能按上述需求免费接入对应系统，则视为</w:t>
      </w:r>
      <w:r>
        <w:rPr>
          <w:rFonts w:hint="eastAsia" w:ascii="宋体" w:hAnsi="宋体" w:eastAsia="宋体" w:cs="宋体"/>
          <w:color w:val="auto"/>
          <w:sz w:val="24"/>
          <w:szCs w:val="24"/>
          <w:highlight w:val="none"/>
          <w:shd w:val="clear" w:color="auto" w:fill="auto"/>
          <w:lang w:val="en-US" w:eastAsia="zh-CN" w:bidi="ar-SA"/>
        </w:rPr>
        <w:t>中标供应商</w:t>
      </w:r>
      <w:r>
        <w:rPr>
          <w:rFonts w:hint="eastAsia" w:ascii="宋体" w:hAnsi="宋体" w:eastAsia="宋体" w:cs="宋体"/>
          <w:color w:val="auto"/>
          <w:sz w:val="24"/>
          <w:szCs w:val="24"/>
          <w:highlight w:val="none"/>
          <w:shd w:val="clear" w:color="auto" w:fill="auto"/>
          <w:lang w:val="en-US" w:eastAsia="zh-CN"/>
        </w:rPr>
        <w:t>违约，由采购人自行接入，采购人有权扣除所有货款。</w:t>
      </w:r>
    </w:p>
    <w:p w14:paraId="6815778A">
      <w:pPr>
        <w:keepNext w:val="0"/>
        <w:keepLines w:val="0"/>
        <w:pageBreakBefore w:val="0"/>
        <w:widowControl w:val="0"/>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11</w:t>
      </w:r>
      <w:r>
        <w:rPr>
          <w:rFonts w:hint="eastAsia" w:ascii="宋体" w:hAnsi="宋体" w:eastAsia="宋体" w:cs="宋体"/>
          <w:color w:val="auto"/>
          <w:sz w:val="24"/>
          <w:szCs w:val="24"/>
          <w:highlight w:val="none"/>
          <w:shd w:val="clear" w:color="auto" w:fill="auto"/>
        </w:rPr>
        <w:t>.</w:t>
      </w:r>
      <w:r>
        <w:rPr>
          <w:rFonts w:hint="eastAsia" w:ascii="宋体" w:hAnsi="宋体" w:eastAsia="宋体" w:cs="Cambria"/>
          <w:color w:val="auto"/>
          <w:sz w:val="24"/>
          <w:szCs w:val="24"/>
          <w:highlight w:val="none"/>
          <w:shd w:val="clear" w:color="auto" w:fill="auto"/>
          <w:lang w:val="en-US" w:eastAsia="zh-CN" w:bidi="ar-SA"/>
        </w:rPr>
        <w:t>投标人</w:t>
      </w:r>
      <w:r>
        <w:rPr>
          <w:rFonts w:hint="eastAsia" w:ascii="宋体" w:hAnsi="宋体" w:eastAsia="宋体" w:cs="宋体"/>
          <w:color w:val="auto"/>
          <w:sz w:val="24"/>
          <w:szCs w:val="24"/>
          <w:highlight w:val="none"/>
          <w:shd w:val="clear" w:color="auto" w:fill="auto"/>
          <w:lang w:val="en-US" w:eastAsia="zh-CN"/>
        </w:rPr>
        <w:t>投标前须自行勘察现场，如设备安装运行需涉及基建、暖通等前期改造，则相关一切费用均有</w:t>
      </w:r>
      <w:r>
        <w:rPr>
          <w:rFonts w:hint="eastAsia" w:ascii="宋体" w:hAnsi="宋体" w:eastAsia="宋体" w:cs="Cambria"/>
          <w:color w:val="auto"/>
          <w:sz w:val="24"/>
          <w:szCs w:val="24"/>
          <w:highlight w:val="none"/>
          <w:shd w:val="clear" w:color="auto" w:fill="auto"/>
          <w:lang w:val="en-US" w:eastAsia="zh-CN" w:bidi="ar-SA"/>
        </w:rPr>
        <w:t>投标人</w:t>
      </w:r>
      <w:r>
        <w:rPr>
          <w:rFonts w:hint="eastAsia" w:ascii="宋体" w:hAnsi="宋体" w:eastAsia="宋体" w:cs="宋体"/>
          <w:color w:val="auto"/>
          <w:sz w:val="24"/>
          <w:szCs w:val="24"/>
          <w:highlight w:val="none"/>
          <w:shd w:val="clear" w:color="auto" w:fill="auto"/>
          <w:lang w:val="en-US" w:eastAsia="zh-CN"/>
        </w:rPr>
        <w:t>自行承担，并包含在投标报价中，采购人不再另外支付。如因基建、暖通等改造导致工期延误，则视为</w:t>
      </w:r>
      <w:r>
        <w:rPr>
          <w:rFonts w:hint="eastAsia" w:ascii="宋体" w:hAnsi="宋体" w:eastAsia="宋体" w:cs="宋体"/>
          <w:color w:val="auto"/>
          <w:sz w:val="24"/>
          <w:szCs w:val="24"/>
          <w:highlight w:val="none"/>
          <w:shd w:val="clear" w:color="auto" w:fill="auto"/>
          <w:lang w:val="en-US" w:eastAsia="zh-CN" w:bidi="ar-SA"/>
        </w:rPr>
        <w:t>中标供应商</w:t>
      </w:r>
      <w:r>
        <w:rPr>
          <w:rFonts w:hint="eastAsia" w:ascii="宋体" w:hAnsi="宋体" w:eastAsia="宋体" w:cs="宋体"/>
          <w:color w:val="auto"/>
          <w:sz w:val="24"/>
          <w:szCs w:val="24"/>
          <w:highlight w:val="none"/>
          <w:shd w:val="clear" w:color="auto" w:fill="auto"/>
          <w:lang w:val="en-US" w:eastAsia="zh-CN"/>
        </w:rPr>
        <w:t>违约，相关违约责任由</w:t>
      </w:r>
      <w:r>
        <w:rPr>
          <w:rFonts w:hint="eastAsia" w:ascii="宋体" w:hAnsi="宋体" w:eastAsia="宋体" w:cs="宋体"/>
          <w:color w:val="auto"/>
          <w:sz w:val="24"/>
          <w:szCs w:val="24"/>
          <w:highlight w:val="none"/>
          <w:shd w:val="clear" w:color="auto" w:fill="auto"/>
          <w:lang w:val="en-US" w:eastAsia="zh-CN" w:bidi="ar-SA"/>
        </w:rPr>
        <w:t>中标供应商</w:t>
      </w:r>
      <w:r>
        <w:rPr>
          <w:rFonts w:hint="eastAsia" w:ascii="宋体" w:hAnsi="宋体" w:eastAsia="宋体" w:cs="宋体"/>
          <w:color w:val="auto"/>
          <w:sz w:val="24"/>
          <w:szCs w:val="24"/>
          <w:highlight w:val="none"/>
          <w:shd w:val="clear" w:color="auto" w:fill="auto"/>
          <w:lang w:val="en-US" w:eastAsia="zh-CN"/>
        </w:rPr>
        <w:t>承担，采购人有权扣除合同金额的10%作为合同违约金。</w:t>
      </w:r>
    </w:p>
    <w:p w14:paraId="1C66155B">
      <w:pPr>
        <w:numPr>
          <w:ilvl w:val="0"/>
          <w:numId w:val="0"/>
        </w:numPr>
        <w:shd w:val="clear" w:color="auto" w:fill="auto"/>
        <w:jc w:val="both"/>
        <w:outlineLvl w:val="0"/>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rPr>
        <w:t>【四】特别说明：</w:t>
      </w:r>
    </w:p>
    <w:p w14:paraId="7AFC055A">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.1.所报配置为主要配置，其他按标准配置配备；不得在原厂标准配置的基础上减少或降低技术配置。</w:t>
      </w:r>
    </w:p>
    <w:p w14:paraId="6D5EAC82">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.2.报价含交付使用前一切费用；本次招标不接受选择性报价。</w:t>
      </w:r>
    </w:p>
    <w:p w14:paraId="6A919589">
      <w:pPr>
        <w:numPr>
          <w:ilvl w:val="0"/>
          <w:numId w:val="0"/>
        </w:numPr>
        <w:shd w:val="clear" w:color="auto" w:fill="auto"/>
        <w:jc w:val="both"/>
        <w:outlineLvl w:val="0"/>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rPr>
        <w:t>【五】免费质量保修期：</w:t>
      </w:r>
    </w:p>
    <w:p w14:paraId="2EC5D0BC">
      <w:pPr>
        <w:spacing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本项目免费质量保修期为</w:t>
      </w:r>
      <w:r>
        <w:rPr>
          <w:rFonts w:hint="eastAsia" w:ascii="宋体" w:hAnsi="宋体" w:eastAsia="宋体" w:cs="宋体"/>
          <w:color w:val="auto"/>
          <w:sz w:val="24"/>
          <w:szCs w:val="24"/>
          <w:highlight w:val="none"/>
          <w:u w:val="single"/>
          <w:shd w:val="clear" w:color="auto" w:fill="auto"/>
        </w:rPr>
        <w:t>按照招标文件技术参数中免费质量保修期要求执行</w:t>
      </w:r>
      <w:r>
        <w:rPr>
          <w:rFonts w:hint="eastAsia" w:ascii="宋体" w:hAnsi="宋体" w:eastAsia="宋体" w:cs="宋体"/>
          <w:color w:val="auto"/>
          <w:sz w:val="24"/>
          <w:szCs w:val="24"/>
          <w:highlight w:val="none"/>
          <w:shd w:val="clear" w:color="auto" w:fill="auto"/>
        </w:rPr>
        <w:t xml:space="preserve">。如生产厂家规定的质量保修期限大于该期限，按生产厂家规定执行。签订合同时以投标人承诺的质保期为准。 </w:t>
      </w:r>
    </w:p>
    <w:p w14:paraId="20697B7F">
      <w:pPr>
        <w:shd w:val="clear" w:color="auto" w:fill="auto"/>
        <w:spacing w:line="360" w:lineRule="auto"/>
        <w:jc w:val="both"/>
        <w:rPr>
          <w:rFonts w:hint="eastAsia" w:ascii="Calibri"/>
          <w:b/>
          <w:color w:val="auto"/>
          <w:sz w:val="44"/>
          <w:szCs w:val="44"/>
          <w:highlight w:val="none"/>
        </w:rPr>
      </w:pPr>
    </w:p>
    <w:p w14:paraId="16E159EA">
      <w:pPr>
        <w:shd w:val="clear" w:color="auto"/>
        <w:spacing w:line="360" w:lineRule="auto"/>
        <w:rPr>
          <w:rFonts w:ascii="Calibri"/>
          <w:b/>
          <w:i/>
          <w:iCs/>
          <w:color w:val="auto"/>
          <w:sz w:val="28"/>
          <w:szCs w:val="28"/>
        </w:rPr>
      </w:pPr>
      <w:r>
        <w:rPr>
          <w:rFonts w:hint="eastAsia" w:ascii="Calibri"/>
          <w:b/>
          <w:i/>
          <w:iCs/>
          <w:color w:val="auto"/>
          <w:sz w:val="28"/>
          <w:szCs w:val="28"/>
        </w:rPr>
        <w:t>注：以上</w:t>
      </w:r>
      <w:r>
        <w:rPr>
          <w:rFonts w:hint="eastAsia" w:ascii="宋体" w:hAnsi="宋体"/>
          <w:b/>
          <w:i/>
          <w:iCs/>
          <w:color w:val="auto"/>
          <w:sz w:val="28"/>
          <w:szCs w:val="28"/>
        </w:rPr>
        <w:t>【二】至【五】项为商务条款，商务条款为实质性条款，不允许偏离，否则视为无效投标。</w:t>
      </w:r>
    </w:p>
    <w:p w14:paraId="32BCB596">
      <w:pPr>
        <w:shd w:val="clear" w:color="auto" w:fill="auto"/>
        <w:spacing w:line="360" w:lineRule="auto"/>
        <w:jc w:val="both"/>
        <w:rPr>
          <w:rFonts w:hint="eastAsia" w:ascii="Calibri"/>
          <w:b/>
          <w:color w:val="auto"/>
          <w:sz w:val="44"/>
          <w:szCs w:val="44"/>
          <w:highlight w:val="none"/>
        </w:rPr>
      </w:pPr>
    </w:p>
    <w:p w14:paraId="1EB975CB">
      <w:pPr>
        <w:shd w:val="clear" w:color="auto" w:fill="auto"/>
        <w:spacing w:line="360" w:lineRule="auto"/>
        <w:jc w:val="both"/>
        <w:rPr>
          <w:rFonts w:hint="eastAsia" w:ascii="Calibri"/>
          <w:b/>
          <w:color w:val="auto"/>
          <w:sz w:val="44"/>
          <w:szCs w:val="44"/>
          <w:highlight w:val="none"/>
        </w:rPr>
      </w:pPr>
    </w:p>
    <w:p w14:paraId="7EA448D0">
      <w:pPr>
        <w:shd w:val="clear" w:color="auto" w:fill="auto"/>
        <w:spacing w:line="360" w:lineRule="auto"/>
        <w:jc w:val="both"/>
        <w:rPr>
          <w:rFonts w:hint="eastAsia" w:ascii="Calibri"/>
          <w:b/>
          <w:color w:val="auto"/>
          <w:sz w:val="44"/>
          <w:szCs w:val="44"/>
          <w:highlight w:val="none"/>
        </w:rPr>
      </w:pPr>
    </w:p>
    <w:p w14:paraId="031B7F5E">
      <w:pPr>
        <w:shd w:val="clear" w:color="auto" w:fill="auto"/>
        <w:spacing w:line="360" w:lineRule="auto"/>
        <w:jc w:val="both"/>
        <w:rPr>
          <w:rFonts w:hint="eastAsia" w:ascii="Calibri"/>
          <w:b/>
          <w:color w:val="auto"/>
          <w:sz w:val="44"/>
          <w:szCs w:val="44"/>
          <w:highlight w:val="none"/>
        </w:rPr>
      </w:pPr>
    </w:p>
    <w:p w14:paraId="7078002D">
      <w:pPr>
        <w:shd w:val="clear" w:color="auto" w:fill="auto"/>
        <w:spacing w:line="360" w:lineRule="auto"/>
        <w:jc w:val="both"/>
        <w:rPr>
          <w:rFonts w:hint="eastAsia" w:ascii="Calibri"/>
          <w:b/>
          <w:color w:val="auto"/>
          <w:sz w:val="44"/>
          <w:szCs w:val="44"/>
          <w:highlight w:val="none"/>
        </w:rPr>
      </w:pPr>
    </w:p>
    <w:p w14:paraId="11D6D36A">
      <w:pPr>
        <w:shd w:val="clear" w:color="auto" w:fill="auto"/>
        <w:spacing w:line="360" w:lineRule="auto"/>
        <w:jc w:val="both"/>
        <w:rPr>
          <w:rFonts w:hint="eastAsia" w:ascii="Calibri"/>
          <w:b/>
          <w:color w:val="auto"/>
          <w:sz w:val="44"/>
          <w:szCs w:val="44"/>
          <w:highlight w:val="none"/>
        </w:rPr>
      </w:pPr>
    </w:p>
    <w:p w14:paraId="0E171828">
      <w:pPr>
        <w:shd w:val="clear" w:color="auto" w:fill="auto"/>
        <w:spacing w:line="360" w:lineRule="auto"/>
        <w:jc w:val="both"/>
        <w:rPr>
          <w:rFonts w:hint="eastAsia" w:ascii="Calibri"/>
          <w:b/>
          <w:color w:val="auto"/>
          <w:sz w:val="44"/>
          <w:szCs w:val="44"/>
          <w:highlight w:val="none"/>
        </w:rPr>
      </w:pPr>
    </w:p>
    <w:p w14:paraId="452232FA">
      <w:pPr>
        <w:shd w:val="clear" w:color="auto" w:fill="auto"/>
        <w:spacing w:line="360" w:lineRule="auto"/>
        <w:ind w:firstLine="883"/>
        <w:jc w:val="center"/>
        <w:rPr>
          <w:rFonts w:hint="eastAsia" w:ascii="Calibri"/>
          <w:b/>
          <w:color w:val="auto"/>
          <w:sz w:val="44"/>
          <w:szCs w:val="44"/>
          <w:highlight w:val="none"/>
        </w:rPr>
      </w:pPr>
      <w:r>
        <w:rPr>
          <w:rFonts w:hint="eastAsia" w:ascii="Calibri"/>
          <w:b/>
          <w:color w:val="auto"/>
          <w:sz w:val="44"/>
          <w:szCs w:val="44"/>
          <w:highlight w:val="none"/>
        </w:rPr>
        <w:t>第五部分  合同格式及条款</w:t>
      </w:r>
      <w:bookmarkEnd w:id="71"/>
      <w:bookmarkEnd w:id="72"/>
    </w:p>
    <w:p w14:paraId="4E048CFC">
      <w:pPr>
        <w:pStyle w:val="276"/>
        <w:shd w:val="clear" w:color="auto" w:fill="auto"/>
        <w:spacing w:line="420" w:lineRule="exact"/>
        <w:jc w:val="center"/>
        <w:outlineLvl w:val="1"/>
        <w:rPr>
          <w:rFonts w:hint="eastAsia" w:ascii="黑体" w:eastAsia="黑体"/>
          <w:b/>
          <w:color w:val="auto"/>
          <w:sz w:val="44"/>
          <w:highlight w:val="none"/>
        </w:rPr>
      </w:pPr>
      <w:bookmarkStart w:id="73" w:name="_Toc8249"/>
      <w:bookmarkEnd w:id="73"/>
      <w:bookmarkStart w:id="74" w:name="_Toc9956_WPSOffice_Level2"/>
      <w:bookmarkEnd w:id="74"/>
      <w:bookmarkStart w:id="75" w:name="_Toc1883"/>
      <w:bookmarkEnd w:id="75"/>
      <w:bookmarkStart w:id="76" w:name="EB92fb24a891e34ea29920d90c75406592"/>
    </w:p>
    <w:p w14:paraId="7AB3D92E">
      <w:pPr>
        <w:pStyle w:val="409"/>
        <w:spacing w:before="120" w:after="120"/>
        <w:rPr>
          <w:rFonts w:hint="eastAsia" w:ascii="宋体" w:hAnsi="宋体" w:eastAsia="宋体" w:cs="宋体"/>
          <w:color w:val="auto"/>
          <w:sz w:val="24"/>
          <w:szCs w:val="24"/>
          <w:highlight w:val="none"/>
          <w:shd w:val="clear" w:color="auto" w:fill="auto"/>
        </w:rPr>
      </w:pPr>
      <w:bookmarkStart w:id="77" w:name="_Toc20823315"/>
      <w:bookmarkStart w:id="78" w:name="_Toc513029243"/>
      <w:bookmarkStart w:id="79" w:name="_Toc16938559"/>
      <w:r>
        <w:rPr>
          <w:rFonts w:hint="eastAsia" w:ascii="宋体" w:hAnsi="宋体" w:eastAsia="宋体" w:cs="宋体"/>
          <w:color w:val="auto"/>
          <w:sz w:val="24"/>
          <w:szCs w:val="24"/>
          <w:highlight w:val="none"/>
          <w:shd w:val="clear" w:color="auto" w:fill="auto"/>
        </w:rPr>
        <w:t xml:space="preserve">项目名称：         </w:t>
      </w:r>
    </w:p>
    <w:p w14:paraId="0BCCD6AE">
      <w:pPr>
        <w:pStyle w:val="409"/>
        <w:spacing w:before="120" w:after="1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bookmarkEnd w:id="77"/>
    <w:bookmarkEnd w:id="78"/>
    <w:bookmarkEnd w:id="79"/>
    <w:p w14:paraId="7CFF4766">
      <w:pPr>
        <w:pStyle w:val="409"/>
        <w:spacing w:before="120" w:after="120"/>
        <w:rPr>
          <w:rFonts w:hint="eastAsia" w:ascii="宋体" w:hAnsi="宋体" w:eastAsia="宋体" w:cs="宋体"/>
          <w:color w:val="auto"/>
          <w:sz w:val="24"/>
          <w:szCs w:val="24"/>
          <w:highlight w:val="none"/>
          <w:shd w:val="clear" w:color="auto" w:fill="auto"/>
        </w:rPr>
      </w:pPr>
    </w:p>
    <w:p w14:paraId="7496B7F9">
      <w:pPr>
        <w:spacing w:before="120" w:after="1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甲方：（买方）</w:t>
      </w:r>
      <w:r>
        <w:rPr>
          <w:rFonts w:hint="eastAsia" w:ascii="宋体" w:hAnsi="宋体" w:eastAsia="宋体" w:cs="宋体"/>
          <w:color w:val="auto"/>
          <w:sz w:val="24"/>
          <w:szCs w:val="24"/>
          <w:highlight w:val="none"/>
          <w:u w:val="single"/>
          <w:shd w:val="clear" w:color="auto" w:fill="auto"/>
        </w:rPr>
        <w:t xml:space="preserve">                        </w:t>
      </w:r>
    </w:p>
    <w:p w14:paraId="171747A9">
      <w:pPr>
        <w:spacing w:before="120" w:after="12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乙方：（卖方）</w:t>
      </w:r>
      <w:r>
        <w:rPr>
          <w:rFonts w:hint="eastAsia" w:ascii="宋体" w:hAnsi="宋体" w:eastAsia="宋体" w:cs="宋体"/>
          <w:color w:val="auto"/>
          <w:sz w:val="24"/>
          <w:szCs w:val="24"/>
          <w:highlight w:val="none"/>
          <w:u w:val="single"/>
          <w:shd w:val="clear" w:color="auto" w:fill="auto"/>
        </w:rPr>
        <w:t xml:space="preserve">                        </w:t>
      </w:r>
    </w:p>
    <w:p w14:paraId="6DCCA109">
      <w:pPr>
        <w:pStyle w:val="631"/>
        <w:rPr>
          <w:rFonts w:hint="eastAsia"/>
          <w:color w:val="auto"/>
          <w:highlight w:val="none"/>
          <w:shd w:val="clear" w:color="auto" w:fill="auto"/>
        </w:rPr>
      </w:pPr>
    </w:p>
    <w:p w14:paraId="012055CB">
      <w:pPr>
        <w:spacing w:before="120" w:after="120"/>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根据《中华人民共和国民法典（合同编）》、《中华人民共和国政府采购法》等法律法规的规定以及</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项目采购结果，甲乙双方遵循平等、自愿、公平、诚实信用的原则，就</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项目事宜经双方协商一致，订立本合同。</w:t>
      </w:r>
    </w:p>
    <w:p w14:paraId="4EC8653C">
      <w:pPr>
        <w:spacing w:before="120" w:after="120"/>
        <w:ind w:firstLine="480"/>
        <w:rPr>
          <w:rFonts w:hint="eastAsia" w:ascii="宋体" w:hAnsi="宋体" w:eastAsia="宋体" w:cs="宋体"/>
          <w:b/>
          <w:color w:val="auto"/>
          <w:sz w:val="24"/>
          <w:szCs w:val="24"/>
          <w:highlight w:val="none"/>
          <w:shd w:val="clear" w:color="auto" w:fill="auto"/>
        </w:rPr>
      </w:pPr>
    </w:p>
    <w:p w14:paraId="618784CF">
      <w:pPr>
        <w:spacing w:before="120" w:after="12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一、产品内容</w:t>
      </w:r>
    </w:p>
    <w:p w14:paraId="17D9B97E">
      <w:pPr>
        <w:spacing w:before="120" w:after="1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产品名称：</w:t>
      </w:r>
    </w:p>
    <w:p w14:paraId="5232CF7E">
      <w:pPr>
        <w:spacing w:before="120" w:after="1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 型号规格：</w:t>
      </w:r>
    </w:p>
    <w:p w14:paraId="127E55A4">
      <w:pPr>
        <w:spacing w:before="120" w:after="1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 数量（单位）：</w:t>
      </w:r>
    </w:p>
    <w:p w14:paraId="6365A2B5">
      <w:pPr>
        <w:spacing w:before="120" w:after="1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 质量要求:</w:t>
      </w:r>
    </w:p>
    <w:p w14:paraId="55799A0B">
      <w:pPr>
        <w:spacing w:before="120" w:after="120" w:line="6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二、合同金额</w:t>
      </w:r>
    </w:p>
    <w:p w14:paraId="079822F3">
      <w:pPr>
        <w:spacing w:before="120" w:after="120"/>
        <w:ind w:left="410" w:hanging="41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 本合同金额为（大写）：_________________________________圆（￥_______________元）人民币。</w:t>
      </w:r>
    </w:p>
    <w:p w14:paraId="198ECBD1">
      <w:pPr>
        <w:spacing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2.2本合同金额</w:t>
      </w:r>
      <w:r>
        <w:rPr>
          <w:rFonts w:hint="eastAsia" w:ascii="宋体" w:hAnsi="宋体" w:eastAsia="宋体" w:cs="宋体"/>
          <w:color w:val="auto"/>
          <w:sz w:val="24"/>
          <w:szCs w:val="24"/>
          <w:highlight w:val="none"/>
          <w:shd w:val="clear" w:color="auto" w:fill="auto"/>
        </w:rPr>
        <w:t>包括</w:t>
      </w:r>
      <w:r>
        <w:rPr>
          <w:rFonts w:hint="eastAsia" w:ascii="宋体" w:hAnsi="宋体" w:eastAsia="宋体" w:cs="宋体"/>
          <w:color w:val="auto"/>
          <w:sz w:val="24"/>
          <w:szCs w:val="24"/>
          <w:highlight w:val="none"/>
          <w:shd w:val="clear" w:color="auto" w:fill="auto"/>
          <w:lang w:val="en-US" w:eastAsia="zh-CN"/>
        </w:rPr>
        <w:t>但不限于</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货物</w:t>
      </w:r>
      <w:r>
        <w:rPr>
          <w:rFonts w:hint="eastAsia" w:ascii="宋体" w:hAnsi="宋体" w:eastAsia="宋体" w:cs="宋体"/>
          <w:color w:val="auto"/>
          <w:sz w:val="24"/>
          <w:szCs w:val="24"/>
          <w:highlight w:val="none"/>
          <w:shd w:val="clear" w:color="auto" w:fill="auto"/>
        </w:rPr>
        <w:t>本身、</w:t>
      </w:r>
      <w:r>
        <w:rPr>
          <w:rFonts w:hint="eastAsia" w:ascii="宋体" w:hAnsi="宋体" w:eastAsia="宋体" w:cs="宋体"/>
          <w:color w:val="auto"/>
          <w:sz w:val="24"/>
          <w:szCs w:val="24"/>
          <w:highlight w:val="none"/>
          <w:shd w:val="clear" w:color="auto" w:fill="auto"/>
          <w:lang w:val="en-US" w:eastAsia="zh-CN"/>
        </w:rPr>
        <w:t>场所改造、</w:t>
      </w:r>
      <w:r>
        <w:rPr>
          <w:rFonts w:hint="eastAsia" w:ascii="宋体" w:hAnsi="宋体" w:eastAsia="宋体" w:cs="宋体"/>
          <w:color w:val="auto"/>
          <w:sz w:val="24"/>
          <w:szCs w:val="24"/>
          <w:highlight w:val="none"/>
          <w:shd w:val="clear" w:color="auto" w:fill="auto"/>
        </w:rPr>
        <w:t>安装调试、</w:t>
      </w:r>
      <w:r>
        <w:rPr>
          <w:rFonts w:hint="eastAsia" w:ascii="宋体" w:hAnsi="宋体" w:eastAsia="宋体" w:cs="宋体"/>
          <w:color w:val="auto"/>
          <w:sz w:val="24"/>
          <w:szCs w:val="24"/>
          <w:highlight w:val="none"/>
          <w:shd w:val="clear" w:color="auto" w:fill="auto"/>
          <w:lang w:val="en-US" w:eastAsia="zh-CN"/>
        </w:rPr>
        <w:t>运输、培训、</w:t>
      </w:r>
      <w:r>
        <w:rPr>
          <w:rFonts w:hint="eastAsia" w:ascii="宋体" w:hAnsi="宋体" w:eastAsia="宋体" w:cs="宋体"/>
          <w:color w:val="auto"/>
          <w:sz w:val="24"/>
          <w:szCs w:val="24"/>
          <w:highlight w:val="none"/>
          <w:shd w:val="clear" w:color="auto" w:fill="auto"/>
        </w:rPr>
        <w:t>人工、服务、税金</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相关辅助设施</w:t>
      </w:r>
      <w:r>
        <w:rPr>
          <w:rFonts w:hint="eastAsia" w:ascii="宋体" w:hAnsi="宋体" w:eastAsia="宋体" w:cs="宋体"/>
          <w:color w:val="auto"/>
          <w:sz w:val="24"/>
          <w:szCs w:val="24"/>
          <w:highlight w:val="none"/>
          <w:shd w:val="clear" w:color="auto" w:fill="auto"/>
        </w:rPr>
        <w:t>以及交付使用过程中涉及到的其他一切费用。</w:t>
      </w:r>
    </w:p>
    <w:p w14:paraId="31B6C76D">
      <w:pPr>
        <w:spacing w:before="120" w:after="120" w:line="6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三、技术资料</w:t>
      </w:r>
    </w:p>
    <w:p w14:paraId="51931482">
      <w:pPr>
        <w:spacing w:before="120" w:after="120"/>
        <w:ind w:left="492" w:hanging="49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 乙方应按采购文件规定的时间向甲方提供货物的有关技术资料。</w:t>
      </w:r>
    </w:p>
    <w:p w14:paraId="2CF53DB9">
      <w:pPr>
        <w:spacing w:before="120" w:after="120"/>
        <w:ind w:left="492" w:hanging="49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 没有甲方事先书面同意，乙方不得将由甲方提供的有关合同或任何合同条文、 规格、计划、图纸、样品或资料提供给与履行本合同无关的任何其他人。即使向履行本合同有关的人员提供，也应注意保密并限于履行合同的必需范围。</w:t>
      </w:r>
    </w:p>
    <w:p w14:paraId="21C73256">
      <w:pPr>
        <w:spacing w:before="120" w:after="120" w:line="6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四、知识产权</w:t>
      </w:r>
    </w:p>
    <w:p w14:paraId="52AFC7C8">
      <w:pPr>
        <w:spacing w:before="120" w:after="120"/>
        <w:ind w:left="492" w:hanging="49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 乙方应保证甲方在使用、接受本合同货物和服务或其任何一部分时不受第三方提出侵犯其专利权、版权、商标权和工业设计权等知识产权的起诉。一旦出现侵权，由乙方负全部责任。</w:t>
      </w:r>
    </w:p>
    <w:p w14:paraId="433E4E99">
      <w:pPr>
        <w:spacing w:before="120" w:after="120" w:line="6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五、产权担保</w:t>
      </w:r>
    </w:p>
    <w:p w14:paraId="38BA4AF2">
      <w:pPr>
        <w:spacing w:before="120" w:after="120"/>
        <w:ind w:left="492" w:hanging="49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 乙方保证所交付的货物的所有权完全属于乙方且无任何抵押、查封等产权瑕疵。</w:t>
      </w:r>
    </w:p>
    <w:p w14:paraId="181130B4">
      <w:pPr>
        <w:spacing w:before="120" w:after="120" w:line="6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六、转包</w:t>
      </w:r>
    </w:p>
    <w:p w14:paraId="04C31EE3">
      <w:pPr>
        <w:ind w:left="492" w:hanging="49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6.1本合同范围的货物，应由乙方直接供应，不得转让他人供应。</w:t>
      </w:r>
    </w:p>
    <w:p w14:paraId="1AD29D3E">
      <w:pPr>
        <w:spacing w:before="120" w:after="120" w:line="6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七、质保期</w:t>
      </w:r>
    </w:p>
    <w:p w14:paraId="495EF08B">
      <w:pPr>
        <w:spacing w:before="120" w:after="120"/>
        <w:ind w:left="492" w:hanging="491"/>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 质保期（自交货验收合格之日起计）</w:t>
      </w:r>
      <w:r>
        <w:rPr>
          <w:rFonts w:hint="eastAsia" w:ascii="宋体" w:hAnsi="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lang w:val="en-US" w:eastAsia="zh-CN"/>
        </w:rPr>
        <w:t>根据采购文件具体需求</w:t>
      </w:r>
    </w:p>
    <w:p w14:paraId="2D27CC49">
      <w:pPr>
        <w:spacing w:before="120" w:after="120" w:line="6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八、交货期、交货方式及交货地点</w:t>
      </w:r>
    </w:p>
    <w:p w14:paraId="3643BD7E">
      <w:pPr>
        <w:pStyle w:val="409"/>
        <w:spacing w:before="120" w:after="12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交货期：签订合同后为3</w:t>
      </w:r>
      <w:r>
        <w:rPr>
          <w:rFonts w:hint="eastAsia" w:ascii="宋体" w:hAnsi="宋体" w:eastAsia="宋体" w:cs="宋体"/>
          <w:color w:val="auto"/>
          <w:sz w:val="24"/>
          <w:szCs w:val="24"/>
          <w:highlight w:val="none"/>
          <w:shd w:val="clear" w:color="auto" w:fill="auto"/>
          <w:lang w:val="en-US" w:eastAsia="zh-CN"/>
        </w:rPr>
        <w:t>个月</w:t>
      </w:r>
      <w:r>
        <w:rPr>
          <w:rFonts w:hint="eastAsia" w:ascii="宋体" w:hAnsi="宋体" w:eastAsia="宋体" w:cs="宋体"/>
          <w:color w:val="auto"/>
          <w:sz w:val="24"/>
          <w:szCs w:val="24"/>
          <w:highlight w:val="none"/>
          <w:shd w:val="clear" w:color="auto" w:fill="auto"/>
        </w:rPr>
        <w:t>内完成供货、安装、调试</w:t>
      </w:r>
      <w:r>
        <w:rPr>
          <w:rFonts w:hint="eastAsia" w:ascii="宋体" w:hAnsi="宋体" w:eastAsia="宋体" w:cs="宋体"/>
          <w:color w:val="auto"/>
          <w:sz w:val="24"/>
          <w:szCs w:val="24"/>
          <w:highlight w:val="none"/>
          <w:shd w:val="clear" w:color="auto" w:fill="auto"/>
          <w:lang w:val="en-US" w:eastAsia="zh-CN"/>
        </w:rPr>
        <w:t>。</w:t>
      </w:r>
    </w:p>
    <w:p w14:paraId="3693DC0E">
      <w:pPr>
        <w:spacing w:before="120" w:after="1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8.</w:t>
      </w:r>
      <w:r>
        <w:rPr>
          <w:rFonts w:hint="eastAsia" w:ascii="宋体" w:hAnsi="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交货方式：送货上门</w:t>
      </w:r>
    </w:p>
    <w:p w14:paraId="3FA73D9C">
      <w:pPr>
        <w:pStyle w:val="409"/>
        <w:spacing w:before="120" w:after="120" w:line="360" w:lineRule="auto"/>
        <w:rPr>
          <w:rFonts w:hint="eastAsia" w:ascii="宋体" w:hAnsi="宋体" w:eastAsia="宋体" w:cs="宋体"/>
          <w:color w:val="auto"/>
          <w:sz w:val="24"/>
          <w:szCs w:val="24"/>
          <w:highlight w:val="none"/>
          <w:shd w:val="clear" w:color="auto" w:fill="auto"/>
        </w:rPr>
      </w:pPr>
      <w:r>
        <w:rPr>
          <w:rFonts w:hint="eastAsia" w:hAnsi="宋体" w:eastAsia="宋体" w:cs="宋体"/>
          <w:color w:val="auto"/>
          <w:sz w:val="24"/>
          <w:szCs w:val="24"/>
          <w:highlight w:val="none"/>
          <w:shd w:val="clear" w:color="auto" w:fill="auto"/>
          <w:lang w:val="en-US" w:eastAsia="zh-CN"/>
        </w:rPr>
        <w:t>8</w:t>
      </w:r>
      <w:r>
        <w:rPr>
          <w:rFonts w:hint="eastAsia" w:ascii="宋体" w:hAnsi="宋体" w:eastAsia="宋体" w:cs="宋体"/>
          <w:color w:val="auto"/>
          <w:sz w:val="24"/>
          <w:szCs w:val="24"/>
          <w:highlight w:val="none"/>
          <w:shd w:val="clear" w:color="auto" w:fill="auto"/>
          <w:lang w:val="en-US" w:eastAsia="zh-CN"/>
        </w:rPr>
        <w:t>.</w:t>
      </w:r>
      <w:r>
        <w:rPr>
          <w:rFonts w:hint="eastAsia" w:hAnsi="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交货地点：滨海县人民医院（具体放置位置由</w:t>
      </w:r>
      <w:r>
        <w:rPr>
          <w:rFonts w:hint="eastAsia" w:ascii="宋体" w:hAnsi="宋体" w:eastAsia="宋体" w:cs="宋体"/>
          <w:color w:val="auto"/>
          <w:sz w:val="24"/>
          <w:szCs w:val="24"/>
          <w:highlight w:val="none"/>
          <w:shd w:val="clear" w:color="auto" w:fill="auto"/>
          <w:lang w:val="en-US" w:eastAsia="zh-CN"/>
        </w:rPr>
        <w:t>甲方</w:t>
      </w:r>
      <w:r>
        <w:rPr>
          <w:rFonts w:hint="eastAsia" w:ascii="宋体" w:hAnsi="宋体" w:eastAsia="宋体" w:cs="宋体"/>
          <w:color w:val="auto"/>
          <w:sz w:val="24"/>
          <w:szCs w:val="24"/>
          <w:highlight w:val="none"/>
          <w:shd w:val="clear" w:color="auto" w:fill="auto"/>
        </w:rPr>
        <w:t>指定地点）</w:t>
      </w:r>
    </w:p>
    <w:p w14:paraId="0E80FF86">
      <w:pPr>
        <w:pStyle w:val="409"/>
        <w:spacing w:before="120" w:after="12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九、货款支付</w:t>
      </w:r>
    </w:p>
    <w:p w14:paraId="39524384">
      <w:pPr>
        <w:keepNext w:val="0"/>
        <w:keepLines w:val="0"/>
        <w:pageBreakBefore w:val="0"/>
        <w:widowControl/>
        <w:shd w:val="clear" w:color="auto" w:fill="FFFFFF"/>
        <w:spacing w:line="360" w:lineRule="auto"/>
        <w:jc w:val="left"/>
        <w:rPr>
          <w:rFonts w:hint="eastAsia" w:ascii="宋体" w:hAnsi="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付款方式：</w:t>
      </w:r>
      <w:r>
        <w:rPr>
          <w:rFonts w:hint="eastAsia" w:ascii="宋体" w:hAnsi="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lang w:val="en-US" w:eastAsia="zh-CN"/>
        </w:rPr>
        <w:t>根据采购文件具体需求，付款方式分别如下</w:t>
      </w:r>
      <w:r>
        <w:rPr>
          <w:rFonts w:hint="eastAsia" w:ascii="宋体" w:hAnsi="宋体" w:cs="宋体"/>
          <w:color w:val="auto"/>
          <w:sz w:val="24"/>
          <w:szCs w:val="24"/>
          <w:highlight w:val="none"/>
          <w:shd w:val="clear" w:color="auto" w:fill="auto"/>
          <w:lang w:eastAsia="zh-CN"/>
        </w:rPr>
        <w:t>）</w:t>
      </w:r>
    </w:p>
    <w:p w14:paraId="58152FCD">
      <w:pPr>
        <w:keepNext w:val="0"/>
        <w:keepLines w:val="0"/>
        <w:pageBreakBefore w:val="0"/>
        <w:widowControl/>
        <w:shd w:val="clear" w:color="auto" w:fill="FFFFFF"/>
        <w:spacing w:line="360" w:lineRule="auto"/>
        <w:jc w:val="left"/>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1、质保期3年及以下：</w:t>
      </w:r>
      <w:r>
        <w:rPr>
          <w:rFonts w:hint="eastAsia" w:ascii="宋体" w:hAnsi="宋体" w:eastAsia="宋体" w:cs="宋体"/>
          <w:color w:val="auto"/>
          <w:sz w:val="24"/>
          <w:szCs w:val="24"/>
          <w:highlight w:val="none"/>
          <w:shd w:val="clear" w:color="auto" w:fill="auto"/>
          <w:lang w:val="en-US" w:eastAsia="zh-CN"/>
        </w:rPr>
        <w:t>签订合同后甲方支付合同金额的30%作为预付款，</w:t>
      </w:r>
      <w:r>
        <w:rPr>
          <w:rFonts w:hint="eastAsia" w:ascii="宋体" w:hAnsi="宋体" w:cs="宋体"/>
          <w:color w:val="auto"/>
          <w:sz w:val="24"/>
          <w:szCs w:val="24"/>
          <w:highlight w:val="none"/>
          <w:shd w:val="clear" w:color="auto" w:fill="auto"/>
          <w:lang w:val="en-US" w:eastAsia="zh-CN"/>
        </w:rPr>
        <w:t>验收合格支付至合同金额的50%，验收满一年支付至合同金额的70%，满两年支付至合同金额的85%，满三年支付至合同金额的100%。</w:t>
      </w:r>
    </w:p>
    <w:p w14:paraId="0AF138AA">
      <w:pPr>
        <w:tabs>
          <w:tab w:val="left" w:pos="900"/>
        </w:tabs>
        <w:spacing w:after="145" w:line="480" w:lineRule="exact"/>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注：乙方在甲方支付预付款前，必须提供预付款同等金额的银行保函，以确保甲方的资金安全。该保函必须是无条件即索即兑的银行保函，保函有效期为签订合同后6个月，保函开具行必须为采购人指定行，且须完全符合甲方要求。如乙方在签订合同前15日内未按上述要求提供银行保函，则视为乙方无条件放弃预付款，付款方式调整为甲方验收合格后直接支付至合同金额的50%。</w:t>
      </w:r>
    </w:p>
    <w:p w14:paraId="1C34AED5">
      <w:pPr>
        <w:tabs>
          <w:tab w:val="left" w:pos="900"/>
        </w:tabs>
        <w:spacing w:after="145" w:line="480" w:lineRule="exact"/>
        <w:ind w:firstLine="480"/>
        <w:rPr>
          <w:rFonts w:ascii="宋体" w:hAnsi="宋体"/>
          <w:b w:val="0"/>
          <w:bCs w:val="0"/>
          <w:color w:val="auto"/>
          <w:sz w:val="24"/>
          <w:highlight w:val="none"/>
          <w:shd w:val="clear" w:color="auto" w:fill="auto"/>
        </w:rPr>
      </w:pPr>
      <w:r>
        <w:rPr>
          <w:rFonts w:hint="eastAsia" w:ascii="宋体" w:hAnsi="宋体"/>
          <w:b w:val="0"/>
          <w:bCs w:val="0"/>
          <w:color w:val="auto"/>
          <w:sz w:val="24"/>
          <w:highlight w:val="none"/>
          <w:shd w:val="clear" w:color="auto" w:fill="auto"/>
          <w:lang w:val="en-US" w:eastAsia="zh-CN"/>
        </w:rPr>
        <w:t>指定银行明细：</w:t>
      </w:r>
    </w:p>
    <w:p w14:paraId="151A90F0">
      <w:pPr>
        <w:keepNext w:val="0"/>
        <w:keepLines w:val="0"/>
        <w:pageBreakBefore w:val="0"/>
        <w:widowControl w:val="0"/>
        <w:spacing w:before="120" w:after="12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十.税费</w:t>
      </w:r>
    </w:p>
    <w:p w14:paraId="1106BC9E">
      <w:pPr>
        <w:keepNext w:val="0"/>
        <w:keepLines w:val="0"/>
        <w:pageBreakBefore w:val="0"/>
        <w:widowControl w:val="0"/>
        <w:spacing w:line="360" w:lineRule="auto"/>
        <w:ind w:left="612" w:hanging="61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 本合同执行中相关的一切税费均由乙方负担。</w:t>
      </w:r>
    </w:p>
    <w:p w14:paraId="19A3C4CE">
      <w:pPr>
        <w:keepNext w:val="0"/>
        <w:keepLines w:val="0"/>
        <w:pageBreakBefore w:val="0"/>
        <w:widowControl w:val="0"/>
        <w:spacing w:before="120" w:after="12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十一、质量保</w:t>
      </w:r>
      <w:r>
        <w:rPr>
          <w:rFonts w:hint="eastAsia" w:ascii="宋体" w:hAnsi="宋体" w:eastAsia="宋体" w:cs="宋体"/>
          <w:b/>
          <w:color w:val="auto"/>
          <w:sz w:val="24"/>
          <w:szCs w:val="24"/>
          <w:highlight w:val="none"/>
          <w:shd w:val="clear" w:color="auto" w:fill="auto"/>
          <w:lang w:val="en-US" w:eastAsia="zh-CN"/>
        </w:rPr>
        <w:t>证</w:t>
      </w:r>
      <w:r>
        <w:rPr>
          <w:rFonts w:hint="eastAsia" w:ascii="宋体" w:hAnsi="宋体" w:eastAsia="宋体" w:cs="宋体"/>
          <w:b/>
          <w:color w:val="auto"/>
          <w:sz w:val="24"/>
          <w:szCs w:val="24"/>
          <w:highlight w:val="none"/>
          <w:shd w:val="clear" w:color="auto" w:fill="auto"/>
        </w:rPr>
        <w:t>及售后服务</w:t>
      </w:r>
    </w:p>
    <w:p w14:paraId="57646584">
      <w:pPr>
        <w:keepNext w:val="0"/>
        <w:keepLines w:val="0"/>
        <w:pageBreakBefore w:val="0"/>
        <w:widowControl w:val="0"/>
        <w:spacing w:before="120" w:after="120" w:line="360" w:lineRule="auto"/>
        <w:ind w:left="612" w:hanging="61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 乙方应按采购文件规定的货物性能、技术要求、质量标准向甲方提供未经使用的全新产品。</w:t>
      </w:r>
    </w:p>
    <w:p w14:paraId="09906DB3">
      <w:pPr>
        <w:keepNext w:val="0"/>
        <w:keepLines w:val="0"/>
        <w:pageBreakBefore w:val="0"/>
        <w:widowControl w:val="0"/>
        <w:spacing w:before="120" w:after="120" w:line="360" w:lineRule="auto"/>
        <w:ind w:left="612" w:hanging="61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 乙方提供的货物在质保期内因货物本身的质量问题发生故障，乙方应负责免费更换。对达不到技术要求者，根据实际情况，经双方协商，可按以下办法处理：                                                     </w:t>
      </w:r>
    </w:p>
    <w:p w14:paraId="58269B0D">
      <w:pPr>
        <w:keepNext w:val="0"/>
        <w:keepLines w:val="0"/>
        <w:pageBreakBefore w:val="0"/>
        <w:widowControl w:val="0"/>
        <w:spacing w:before="120" w:after="120" w:line="360" w:lineRule="auto"/>
        <w:ind w:left="612" w:hanging="61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⑴ 更换：由乙方承担所发生的全部费用。                           </w:t>
      </w:r>
    </w:p>
    <w:p w14:paraId="61A1D220">
      <w:pPr>
        <w:keepNext w:val="0"/>
        <w:keepLines w:val="0"/>
        <w:pageBreakBefore w:val="0"/>
        <w:widowControl w:val="0"/>
        <w:spacing w:before="120" w:after="120" w:line="360" w:lineRule="auto"/>
        <w:ind w:left="612" w:hanging="61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⑵ 贬值处理：由甲乙双方合议定价。                               </w:t>
      </w:r>
    </w:p>
    <w:p w14:paraId="557E95AC">
      <w:pPr>
        <w:keepNext w:val="0"/>
        <w:keepLines w:val="0"/>
        <w:pageBreakBefore w:val="0"/>
        <w:widowControl w:val="0"/>
        <w:spacing w:before="120" w:after="120" w:line="360" w:lineRule="auto"/>
        <w:ind w:left="612" w:hanging="61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⑶ 退货处理：乙方应退还甲方支付的合同款，同时承担该货物的直接费用（运输、保险、检验、货款利息及银行手续费等）。</w:t>
      </w:r>
    </w:p>
    <w:p w14:paraId="5AF0A164">
      <w:pPr>
        <w:keepNext w:val="0"/>
        <w:keepLines w:val="0"/>
        <w:pageBreakBefore w:val="0"/>
        <w:widowControl w:val="0"/>
        <w:spacing w:before="120" w:after="120" w:line="360" w:lineRule="auto"/>
        <w:ind w:left="612" w:hanging="61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11.3 如在使用过程中发生质量问题，乙方在接到甲方通知后在__</w:t>
      </w:r>
      <w:r>
        <w:rPr>
          <w:rFonts w:hint="eastAsia" w:ascii="宋体" w:hAnsi="宋体" w:eastAsia="宋体" w:cs="宋体"/>
          <w:color w:val="auto"/>
          <w:sz w:val="24"/>
          <w:szCs w:val="24"/>
          <w:highlight w:val="none"/>
          <w:u w:val="single"/>
          <w:shd w:val="clear" w:color="auto" w:fill="auto"/>
          <w:lang w:val="en-US" w:eastAsia="zh-CN"/>
        </w:rPr>
        <w:t>24</w:t>
      </w:r>
      <w:r>
        <w:rPr>
          <w:rFonts w:hint="eastAsia" w:ascii="宋体" w:hAnsi="宋体" w:eastAsia="宋体" w:cs="宋体"/>
          <w:color w:val="auto"/>
          <w:sz w:val="24"/>
          <w:szCs w:val="24"/>
          <w:highlight w:val="none"/>
          <w:shd w:val="clear" w:color="auto" w:fill="auto"/>
        </w:rPr>
        <w:t>__小时内到达甲方现场</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并在48小时内解决质量及故障问题</w:t>
      </w:r>
      <w:r>
        <w:rPr>
          <w:rFonts w:hint="eastAsia" w:ascii="宋体" w:hAnsi="宋体" w:eastAsia="宋体" w:cs="宋体"/>
          <w:color w:val="auto"/>
          <w:sz w:val="24"/>
          <w:szCs w:val="24"/>
          <w:highlight w:val="none"/>
          <w:shd w:val="clear" w:color="auto" w:fill="auto"/>
        </w:rPr>
        <w:t>。</w:t>
      </w:r>
    </w:p>
    <w:p w14:paraId="562753BB">
      <w:pPr>
        <w:keepNext w:val="0"/>
        <w:keepLines w:val="0"/>
        <w:pageBreakBefore w:val="0"/>
        <w:widowControl w:val="0"/>
        <w:spacing w:before="120" w:after="120" w:line="360" w:lineRule="auto"/>
        <w:ind w:left="612" w:hanging="61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11.4 在质保期内，乙方应对货物出现的质量及安全问题负责处理解决并承担</w:t>
      </w:r>
      <w:r>
        <w:rPr>
          <w:rFonts w:hint="eastAsia" w:ascii="宋体" w:hAnsi="宋体" w:eastAsia="宋体" w:cs="宋体"/>
          <w:color w:val="auto"/>
          <w:sz w:val="24"/>
          <w:szCs w:val="24"/>
          <w:highlight w:val="none"/>
          <w:shd w:val="clear" w:color="auto" w:fill="auto"/>
          <w:lang w:val="en-US" w:eastAsia="zh-CN"/>
        </w:rPr>
        <w:t>所产生的</w:t>
      </w:r>
      <w:r>
        <w:rPr>
          <w:rFonts w:hint="eastAsia" w:ascii="宋体" w:hAnsi="宋体" w:eastAsia="宋体" w:cs="宋体"/>
          <w:color w:val="auto"/>
          <w:sz w:val="24"/>
          <w:szCs w:val="24"/>
          <w:highlight w:val="none"/>
          <w:shd w:val="clear" w:color="auto" w:fill="auto"/>
        </w:rPr>
        <w:t>一切费用。</w:t>
      </w:r>
    </w:p>
    <w:p w14:paraId="4A7FDB79">
      <w:pPr>
        <w:keepNext w:val="0"/>
        <w:keepLines w:val="0"/>
        <w:pageBreakBefore w:val="0"/>
        <w:widowControl w:val="0"/>
        <w:spacing w:before="120" w:after="120" w:line="360" w:lineRule="auto"/>
        <w:ind w:left="612" w:hanging="61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11.5上述的货物免费保修期为</w:t>
      </w:r>
      <w:r>
        <w:rPr>
          <w:rFonts w:hint="eastAsia" w:ascii="宋体" w:hAnsi="宋体" w:eastAsia="宋体" w:cs="宋体"/>
          <w:color w:val="auto"/>
          <w:sz w:val="24"/>
          <w:szCs w:val="24"/>
          <w:highlight w:val="none"/>
          <w:u w:val="single"/>
          <w:shd w:val="clear" w:color="auto" w:fill="auto"/>
          <w:lang w:val="en-US" w:eastAsia="zh-CN"/>
        </w:rPr>
        <w:t>根据招投标文件要求</w:t>
      </w:r>
      <w:r>
        <w:rPr>
          <w:rFonts w:hint="eastAsia" w:ascii="宋体" w:hAnsi="宋体" w:eastAsia="宋体" w:cs="宋体"/>
          <w:color w:val="auto"/>
          <w:sz w:val="24"/>
          <w:szCs w:val="24"/>
          <w:highlight w:val="none"/>
          <w:shd w:val="clear" w:color="auto" w:fill="auto"/>
        </w:rPr>
        <w:t>，因人为因素出现的故障不在免费保修范围内。超过免费质量保修期的</w:t>
      </w:r>
      <w:r>
        <w:rPr>
          <w:rFonts w:hint="eastAsia" w:ascii="宋体" w:hAnsi="宋体" w:eastAsia="宋体" w:cs="宋体"/>
          <w:color w:val="auto"/>
          <w:sz w:val="24"/>
          <w:szCs w:val="24"/>
          <w:highlight w:val="none"/>
          <w:shd w:val="clear" w:color="auto" w:fill="auto"/>
          <w:lang w:val="en-US" w:eastAsia="zh-CN"/>
        </w:rPr>
        <w:t>货物</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乙方应提供</w:t>
      </w:r>
      <w:r>
        <w:rPr>
          <w:rFonts w:hint="eastAsia" w:ascii="宋体" w:hAnsi="宋体" w:eastAsia="宋体" w:cs="宋体"/>
          <w:color w:val="auto"/>
          <w:sz w:val="24"/>
          <w:szCs w:val="24"/>
          <w:highlight w:val="none"/>
          <w:shd w:val="clear" w:color="auto" w:fill="auto"/>
        </w:rPr>
        <w:t>终生维修（除</w:t>
      </w:r>
      <w:r>
        <w:rPr>
          <w:rFonts w:hint="eastAsia" w:ascii="宋体" w:hAnsi="宋体" w:eastAsia="宋体" w:cs="宋体"/>
          <w:color w:val="auto"/>
          <w:sz w:val="24"/>
          <w:szCs w:val="24"/>
          <w:highlight w:val="none"/>
          <w:shd w:val="clear" w:color="auto" w:fill="auto"/>
          <w:lang w:val="en-US" w:eastAsia="zh-CN"/>
        </w:rPr>
        <w:t>甲方</w:t>
      </w:r>
      <w:r>
        <w:rPr>
          <w:rFonts w:hint="eastAsia" w:ascii="宋体" w:hAnsi="宋体" w:eastAsia="宋体" w:cs="宋体"/>
          <w:color w:val="auto"/>
          <w:sz w:val="24"/>
          <w:szCs w:val="24"/>
          <w:highlight w:val="none"/>
          <w:shd w:val="clear" w:color="auto" w:fill="auto"/>
        </w:rPr>
        <w:t>不再要求继续维修外），维修时只收部件成本费。</w:t>
      </w:r>
    </w:p>
    <w:p w14:paraId="1344051B">
      <w:pPr>
        <w:pStyle w:val="631"/>
        <w:keepNext w:val="0"/>
        <w:keepLines w:val="0"/>
        <w:pageBreakBefore w:val="0"/>
        <w:widowControl w:val="0"/>
        <w:spacing w:line="360" w:lineRule="auto"/>
        <w:ind w:left="0" w:firstLine="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11.6</w:t>
      </w:r>
      <w:r>
        <w:rPr>
          <w:rFonts w:hint="eastAsia" w:ascii="宋体" w:hAnsi="宋体" w:eastAsia="宋体" w:cs="宋体"/>
          <w:color w:val="auto"/>
          <w:sz w:val="24"/>
          <w:szCs w:val="24"/>
          <w:highlight w:val="none"/>
          <w:shd w:val="clear" w:color="auto" w:fill="auto"/>
        </w:rPr>
        <w:t>售后服务：</w:t>
      </w:r>
      <w:r>
        <w:rPr>
          <w:rFonts w:hint="eastAsia" w:ascii="宋体" w:hAnsi="宋体" w:eastAsia="宋体" w:cs="宋体"/>
          <w:color w:val="auto"/>
          <w:sz w:val="24"/>
          <w:szCs w:val="24"/>
          <w:highlight w:val="none"/>
          <w:shd w:val="clear" w:color="auto" w:fill="auto"/>
          <w:lang w:val="en-US" w:eastAsia="zh-CN"/>
        </w:rPr>
        <w:t>乙方</w:t>
      </w:r>
      <w:r>
        <w:rPr>
          <w:rFonts w:hint="eastAsia" w:ascii="宋体" w:hAnsi="宋体" w:eastAsia="宋体" w:cs="宋体"/>
          <w:color w:val="auto"/>
          <w:sz w:val="24"/>
          <w:szCs w:val="24"/>
          <w:highlight w:val="none"/>
          <w:shd w:val="clear" w:color="auto" w:fill="auto"/>
        </w:rPr>
        <w:t>须按招标文件要求和投标</w:t>
      </w:r>
      <w:r>
        <w:rPr>
          <w:rFonts w:hint="eastAsia" w:ascii="宋体" w:hAnsi="宋体" w:eastAsia="宋体" w:cs="宋体"/>
          <w:color w:val="auto"/>
          <w:sz w:val="24"/>
          <w:szCs w:val="24"/>
          <w:highlight w:val="none"/>
          <w:shd w:val="clear" w:color="auto" w:fill="auto"/>
          <w:lang w:val="en-US" w:eastAsia="zh-CN"/>
        </w:rPr>
        <w:t>文件</w:t>
      </w:r>
      <w:r>
        <w:rPr>
          <w:rFonts w:hint="eastAsia" w:ascii="宋体" w:hAnsi="宋体" w:eastAsia="宋体" w:cs="宋体"/>
          <w:color w:val="auto"/>
          <w:sz w:val="24"/>
          <w:szCs w:val="24"/>
          <w:highlight w:val="none"/>
          <w:shd w:val="clear" w:color="auto" w:fill="auto"/>
        </w:rPr>
        <w:t>的承诺执行</w:t>
      </w:r>
      <w:r>
        <w:rPr>
          <w:rFonts w:hint="eastAsia" w:ascii="宋体" w:hAnsi="宋体" w:eastAsia="宋体" w:cs="宋体"/>
          <w:color w:val="auto"/>
          <w:sz w:val="24"/>
          <w:szCs w:val="24"/>
          <w:highlight w:val="none"/>
          <w:shd w:val="clear" w:color="auto" w:fill="auto"/>
          <w:lang w:eastAsia="zh-CN"/>
        </w:rPr>
        <w:t>。</w:t>
      </w:r>
    </w:p>
    <w:p w14:paraId="28617B00">
      <w:pPr>
        <w:keepNext w:val="0"/>
        <w:keepLines w:val="0"/>
        <w:pageBreakBefore w:val="0"/>
        <w:widowControl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11.7 乙方提供的货物及服务必须按照甲方要求接入医院HIS系统或其他数据接入及提取系统，上述接入费用由乙方承担。如乙方未能按上述需求免费接入对应系统，则视为乙方违约，由甲方自行接入，甲方有权将上述接入产生费用从货款中扣除。</w:t>
      </w:r>
    </w:p>
    <w:p w14:paraId="61030422">
      <w:pPr>
        <w:keepNext w:val="0"/>
        <w:keepLines w:val="0"/>
        <w:pageBreakBefore w:val="0"/>
        <w:widowControl w:val="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11.8 乙方投标前须自行勘察现场，如设备安装运行需涉及基建、暖通等前期改造，则相关一切费用均有乙方自行承担，并包含在投标报价中，甲方不再另外支付。如因基建、暖通等改造导致工期延误，则视为乙方违约，相关违约责任由乙方承担，甲方有权扣除合同金额的10%作为合同违约金。</w:t>
      </w:r>
    </w:p>
    <w:p w14:paraId="4CF083C5">
      <w:pPr>
        <w:keepNext w:val="0"/>
        <w:keepLines w:val="0"/>
        <w:pageBreakBefore w:val="0"/>
        <w:widowControl w:val="0"/>
        <w:spacing w:before="120" w:after="12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十二、</w:t>
      </w:r>
      <w:r>
        <w:rPr>
          <w:rFonts w:hint="eastAsia" w:ascii="宋体" w:hAnsi="宋体" w:eastAsia="宋体" w:cs="宋体"/>
          <w:b/>
          <w:color w:val="auto"/>
          <w:sz w:val="24"/>
          <w:szCs w:val="24"/>
          <w:highlight w:val="none"/>
          <w:shd w:val="clear" w:color="auto" w:fill="auto"/>
          <w:lang w:val="en-US" w:eastAsia="zh-CN"/>
        </w:rPr>
        <w:t>货物</w:t>
      </w:r>
      <w:r>
        <w:rPr>
          <w:rFonts w:hint="eastAsia" w:ascii="宋体" w:hAnsi="宋体" w:eastAsia="宋体" w:cs="宋体"/>
          <w:b/>
          <w:color w:val="auto"/>
          <w:sz w:val="24"/>
          <w:szCs w:val="24"/>
          <w:highlight w:val="none"/>
          <w:shd w:val="clear" w:color="auto" w:fill="auto"/>
        </w:rPr>
        <w:t>验收</w:t>
      </w:r>
    </w:p>
    <w:p w14:paraId="06C1E81B">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 甲方对乙方提</w:t>
      </w:r>
      <w:r>
        <w:rPr>
          <w:rFonts w:hint="eastAsia" w:ascii="宋体" w:hAnsi="宋体" w:eastAsia="宋体" w:cs="宋体"/>
          <w:color w:val="auto"/>
          <w:sz w:val="24"/>
          <w:szCs w:val="24"/>
          <w:highlight w:val="none"/>
          <w:shd w:val="clear" w:color="auto" w:fill="auto"/>
          <w:lang w:val="en-US" w:eastAsia="zh-CN"/>
        </w:rPr>
        <w:t>供</w:t>
      </w:r>
      <w:r>
        <w:rPr>
          <w:rFonts w:hint="eastAsia" w:ascii="宋体" w:hAnsi="宋体" w:eastAsia="宋体" w:cs="宋体"/>
          <w:color w:val="auto"/>
          <w:sz w:val="24"/>
          <w:szCs w:val="24"/>
          <w:highlight w:val="none"/>
          <w:shd w:val="clear" w:color="auto" w:fill="auto"/>
        </w:rPr>
        <w:t>的货物依据采购文件上的技术规格要求和国家有关质量标准进行</w:t>
      </w:r>
      <w:r>
        <w:rPr>
          <w:rFonts w:hint="eastAsia" w:ascii="宋体" w:hAnsi="宋体" w:eastAsia="宋体" w:cs="宋体"/>
          <w:color w:val="auto"/>
          <w:sz w:val="24"/>
          <w:szCs w:val="24"/>
          <w:highlight w:val="none"/>
          <w:shd w:val="clear" w:color="auto" w:fill="auto"/>
          <w:lang w:val="en-US" w:eastAsia="zh-CN"/>
        </w:rPr>
        <w:t>验收</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不满足要求或标准的不予验收</w:t>
      </w:r>
      <w:r>
        <w:rPr>
          <w:rFonts w:hint="eastAsia" w:ascii="宋体" w:hAnsi="宋体" w:eastAsia="宋体" w:cs="宋体"/>
          <w:color w:val="auto"/>
          <w:sz w:val="24"/>
          <w:szCs w:val="24"/>
          <w:highlight w:val="none"/>
          <w:shd w:val="clear" w:color="auto" w:fill="auto"/>
        </w:rPr>
        <w:t>。</w:t>
      </w:r>
    </w:p>
    <w:p w14:paraId="2C4F4D60">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 乙方交货前应对</w:t>
      </w:r>
      <w:r>
        <w:rPr>
          <w:rFonts w:hint="eastAsia" w:ascii="宋体" w:hAnsi="宋体" w:eastAsia="宋体" w:cs="宋体"/>
          <w:color w:val="auto"/>
          <w:sz w:val="24"/>
          <w:szCs w:val="24"/>
          <w:highlight w:val="none"/>
          <w:shd w:val="clear" w:color="auto" w:fill="auto"/>
          <w:lang w:val="en-US" w:eastAsia="zh-CN"/>
        </w:rPr>
        <w:t>货物</w:t>
      </w:r>
      <w:r>
        <w:rPr>
          <w:rFonts w:hint="eastAsia" w:ascii="宋体" w:hAnsi="宋体" w:eastAsia="宋体" w:cs="宋体"/>
          <w:color w:val="auto"/>
          <w:sz w:val="24"/>
          <w:szCs w:val="24"/>
          <w:highlight w:val="none"/>
          <w:shd w:val="clear" w:color="auto" w:fill="auto"/>
        </w:rPr>
        <w:t>作出全面检查和对验收文件进行整理，并列出清单，作为甲方收货验收和使用的技术依据，</w:t>
      </w:r>
      <w:r>
        <w:rPr>
          <w:rFonts w:hint="eastAsia" w:ascii="宋体" w:hAnsi="宋体" w:eastAsia="宋体" w:cs="宋体"/>
          <w:color w:val="auto"/>
          <w:sz w:val="24"/>
          <w:szCs w:val="24"/>
          <w:highlight w:val="none"/>
          <w:shd w:val="clear" w:color="auto" w:fill="auto"/>
          <w:lang w:val="en-US" w:eastAsia="zh-CN"/>
        </w:rPr>
        <w:t>清单</w:t>
      </w:r>
      <w:r>
        <w:rPr>
          <w:rFonts w:hint="eastAsia" w:ascii="宋体" w:hAnsi="宋体" w:eastAsia="宋体" w:cs="宋体"/>
          <w:color w:val="auto"/>
          <w:sz w:val="24"/>
          <w:szCs w:val="24"/>
          <w:highlight w:val="none"/>
          <w:shd w:val="clear" w:color="auto" w:fill="auto"/>
        </w:rPr>
        <w:t>应随货物交</w:t>
      </w:r>
      <w:r>
        <w:rPr>
          <w:rFonts w:hint="eastAsia" w:ascii="宋体" w:hAnsi="宋体" w:eastAsia="宋体" w:cs="宋体"/>
          <w:color w:val="auto"/>
          <w:sz w:val="24"/>
          <w:szCs w:val="24"/>
          <w:highlight w:val="none"/>
          <w:shd w:val="clear" w:color="auto" w:fill="auto"/>
          <w:lang w:val="en-US" w:eastAsia="zh-CN"/>
        </w:rPr>
        <w:t>付</w:t>
      </w:r>
      <w:r>
        <w:rPr>
          <w:rFonts w:hint="eastAsia" w:ascii="宋体" w:hAnsi="宋体" w:eastAsia="宋体" w:cs="宋体"/>
          <w:color w:val="auto"/>
          <w:sz w:val="24"/>
          <w:szCs w:val="24"/>
          <w:highlight w:val="none"/>
          <w:shd w:val="clear" w:color="auto" w:fill="auto"/>
        </w:rPr>
        <w:t>甲方。</w:t>
      </w:r>
    </w:p>
    <w:p w14:paraId="11F607D3">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 xml:space="preserve"> 对技术复杂的货物，甲方可请</w:t>
      </w:r>
      <w:r>
        <w:rPr>
          <w:rFonts w:hint="eastAsia" w:ascii="宋体" w:hAnsi="宋体" w:eastAsia="宋体" w:cs="宋体"/>
          <w:color w:val="auto"/>
          <w:sz w:val="24"/>
          <w:szCs w:val="24"/>
          <w:highlight w:val="none"/>
          <w:shd w:val="clear" w:color="auto" w:fill="auto"/>
          <w:lang w:val="en-US" w:eastAsia="zh-CN"/>
        </w:rPr>
        <w:t>具有资质</w:t>
      </w:r>
      <w:r>
        <w:rPr>
          <w:rFonts w:hint="eastAsia" w:ascii="宋体" w:hAnsi="宋体" w:eastAsia="宋体" w:cs="宋体"/>
          <w:color w:val="auto"/>
          <w:sz w:val="24"/>
          <w:szCs w:val="24"/>
          <w:highlight w:val="none"/>
          <w:shd w:val="clear" w:color="auto" w:fill="auto"/>
        </w:rPr>
        <w:t>的专业检测机构参与验收</w:t>
      </w:r>
      <w:r>
        <w:rPr>
          <w:rFonts w:hint="eastAsia" w:ascii="宋体" w:hAnsi="宋体" w:eastAsia="宋体" w:cs="宋体"/>
          <w:color w:val="auto"/>
          <w:sz w:val="24"/>
          <w:szCs w:val="24"/>
          <w:highlight w:val="none"/>
          <w:shd w:val="clear" w:color="auto" w:fill="auto"/>
          <w:lang w:val="en-US" w:eastAsia="zh-CN"/>
        </w:rPr>
        <w:t>与检测</w:t>
      </w:r>
      <w:r>
        <w:rPr>
          <w:rFonts w:hint="eastAsia" w:ascii="宋体" w:hAnsi="宋体" w:eastAsia="宋体" w:cs="宋体"/>
          <w:color w:val="auto"/>
          <w:sz w:val="24"/>
          <w:szCs w:val="24"/>
          <w:highlight w:val="none"/>
          <w:shd w:val="clear" w:color="auto" w:fill="auto"/>
        </w:rPr>
        <w:t>，并由其出具质量检测报告</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费用由乙方承担。</w:t>
      </w:r>
    </w:p>
    <w:p w14:paraId="2BDEEB73">
      <w:pPr>
        <w:keepNext w:val="0"/>
        <w:keepLines w:val="0"/>
        <w:pageBreakBefore w:val="0"/>
        <w:widowControl w:val="0"/>
        <w:spacing w:before="120" w:after="12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en-US"/>
        </w:rPr>
        <w:t>三</w:t>
      </w:r>
      <w:r>
        <w:rPr>
          <w:rFonts w:hint="eastAsia" w:ascii="宋体" w:hAnsi="宋体" w:eastAsia="宋体" w:cs="宋体"/>
          <w:b/>
          <w:color w:val="auto"/>
          <w:sz w:val="24"/>
          <w:szCs w:val="24"/>
          <w:highlight w:val="none"/>
          <w:shd w:val="clear" w:color="auto" w:fill="auto"/>
        </w:rPr>
        <w:t>、货物包装、发运及运输</w:t>
      </w:r>
    </w:p>
    <w:p w14:paraId="7902BAB3">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rPr>
        <w:t>.1 乙方应在货物发运前对其进行满足运输距离、防潮、防震、防锈和防破损装卸等要求包装，以保证货物安全运达甲方指定地点。</w:t>
      </w:r>
    </w:p>
    <w:p w14:paraId="712BF671">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rPr>
        <w:t>.2 使用说明书、质量检验证明书、随配附件和工具以及清单一并附于货物内。</w:t>
      </w:r>
    </w:p>
    <w:p w14:paraId="75305B28">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rPr>
        <w:t>.3 乙方在货物发运手续办理完毕后24小时内或货到甲方48小时前通知甲方，以准备接货。</w:t>
      </w:r>
    </w:p>
    <w:p w14:paraId="46B699A5">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rPr>
        <w:t>.4 货物在</w:t>
      </w:r>
      <w:r>
        <w:rPr>
          <w:rFonts w:hint="eastAsia" w:ascii="宋体" w:hAnsi="宋体" w:eastAsia="宋体" w:cs="宋体"/>
          <w:color w:val="auto"/>
          <w:sz w:val="24"/>
          <w:szCs w:val="24"/>
          <w:highlight w:val="none"/>
          <w:shd w:val="clear" w:color="auto" w:fill="auto"/>
          <w:lang w:val="en-US" w:eastAsia="zh-CN"/>
        </w:rPr>
        <w:t>验收合格交付甲方前所发生的所有</w:t>
      </w:r>
      <w:r>
        <w:rPr>
          <w:rFonts w:hint="eastAsia" w:ascii="宋体" w:hAnsi="宋体" w:eastAsia="宋体" w:cs="宋体"/>
          <w:color w:val="auto"/>
          <w:sz w:val="24"/>
          <w:szCs w:val="24"/>
          <w:highlight w:val="none"/>
          <w:shd w:val="clear" w:color="auto" w:fill="auto"/>
        </w:rPr>
        <w:t>风险由乙方</w:t>
      </w:r>
      <w:r>
        <w:rPr>
          <w:rFonts w:hint="eastAsia" w:ascii="宋体" w:hAnsi="宋体" w:eastAsia="宋体" w:cs="宋体"/>
          <w:color w:val="auto"/>
          <w:sz w:val="24"/>
          <w:szCs w:val="24"/>
          <w:highlight w:val="none"/>
          <w:shd w:val="clear" w:color="auto" w:fill="auto"/>
          <w:lang w:val="en-US" w:eastAsia="zh-CN"/>
        </w:rPr>
        <w:t>承担</w:t>
      </w:r>
      <w:r>
        <w:rPr>
          <w:rFonts w:hint="eastAsia" w:ascii="宋体" w:hAnsi="宋体" w:eastAsia="宋体" w:cs="宋体"/>
          <w:color w:val="auto"/>
          <w:sz w:val="24"/>
          <w:szCs w:val="24"/>
          <w:highlight w:val="none"/>
          <w:shd w:val="clear" w:color="auto" w:fill="auto"/>
        </w:rPr>
        <w:t>。</w:t>
      </w:r>
    </w:p>
    <w:p w14:paraId="33952E70">
      <w:pPr>
        <w:keepNext w:val="0"/>
        <w:keepLines w:val="0"/>
        <w:pageBreakBefore w:val="0"/>
        <w:widowControl w:val="0"/>
        <w:spacing w:before="120" w:after="12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en-US"/>
        </w:rPr>
        <w:t>四</w:t>
      </w:r>
      <w:r>
        <w:rPr>
          <w:rFonts w:hint="eastAsia" w:ascii="宋体" w:hAnsi="宋体" w:eastAsia="宋体" w:cs="宋体"/>
          <w:b/>
          <w:color w:val="auto"/>
          <w:sz w:val="24"/>
          <w:szCs w:val="24"/>
          <w:highlight w:val="none"/>
          <w:shd w:val="clear" w:color="auto" w:fill="auto"/>
        </w:rPr>
        <w:t>、违约责任</w:t>
      </w:r>
    </w:p>
    <w:p w14:paraId="608B3F47">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4</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lang w:val="en-US" w:eastAsia="zh-CN"/>
        </w:rPr>
        <w:t xml:space="preserve">  1、单项货物逾期交付的，</w:t>
      </w:r>
      <w:r>
        <w:rPr>
          <w:rFonts w:hint="eastAsia" w:ascii="宋体" w:hAnsi="宋体" w:eastAsia="宋体" w:cs="宋体"/>
          <w:color w:val="auto"/>
          <w:sz w:val="24"/>
          <w:szCs w:val="24"/>
          <w:highlight w:val="none"/>
          <w:shd w:val="clear" w:color="auto" w:fill="auto"/>
        </w:rPr>
        <w:t>乙方应按</w:t>
      </w:r>
      <w:r>
        <w:rPr>
          <w:rFonts w:hint="eastAsia" w:ascii="宋体" w:hAnsi="宋体" w:eastAsia="宋体" w:cs="宋体"/>
          <w:color w:val="auto"/>
          <w:sz w:val="24"/>
          <w:szCs w:val="24"/>
          <w:highlight w:val="none"/>
          <w:shd w:val="clear" w:color="auto" w:fill="auto"/>
          <w:lang w:val="en-US" w:eastAsia="zh-CN"/>
        </w:rPr>
        <w:t>单项货物中标金额</w:t>
      </w:r>
      <w:r>
        <w:rPr>
          <w:rFonts w:hint="eastAsia" w:ascii="宋体" w:hAnsi="宋体" w:eastAsia="宋体" w:cs="宋体"/>
          <w:color w:val="auto"/>
          <w:sz w:val="24"/>
          <w:szCs w:val="24"/>
          <w:highlight w:val="none"/>
          <w:shd w:val="clear" w:color="auto" w:fill="auto"/>
        </w:rPr>
        <w:t>每</w:t>
      </w:r>
      <w:r>
        <w:rPr>
          <w:rFonts w:hint="eastAsia" w:ascii="宋体" w:hAnsi="宋体" w:eastAsia="宋体" w:cs="宋体"/>
          <w:color w:val="auto"/>
          <w:sz w:val="24"/>
          <w:szCs w:val="24"/>
          <w:highlight w:val="none"/>
          <w:shd w:val="clear" w:color="auto" w:fill="auto"/>
          <w:lang w:val="en-US" w:eastAsia="zh-CN"/>
        </w:rPr>
        <w:t>日历天</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2%</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向甲方支付违约金</w:t>
      </w:r>
      <w:r>
        <w:rPr>
          <w:rFonts w:hint="eastAsia" w:ascii="宋体" w:hAnsi="宋体" w:eastAsia="宋体" w:cs="宋体"/>
          <w:color w:val="auto"/>
          <w:sz w:val="24"/>
          <w:szCs w:val="24"/>
          <w:highlight w:val="none"/>
          <w:shd w:val="clear" w:color="auto" w:fill="auto"/>
          <w:lang w:eastAsia="zh-CN"/>
        </w:rPr>
        <w:t>。</w:t>
      </w:r>
    </w:p>
    <w:p w14:paraId="7301E129">
      <w:pPr>
        <w:keepNext w:val="0"/>
        <w:keepLines w:val="0"/>
        <w:pageBreakBefore w:val="0"/>
        <w:widowControl w:val="0"/>
        <w:spacing w:before="120" w:after="120" w:line="360" w:lineRule="auto"/>
        <w:ind w:left="718" w:firstLine="98"/>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2、合同中单项货物供货逾期超过3</w:t>
      </w:r>
      <w:r>
        <w:rPr>
          <w:rFonts w:hint="eastAsia" w:ascii="宋体" w:hAnsi="宋体" w:eastAsia="宋体" w:cs="宋体"/>
          <w:color w:val="auto"/>
          <w:sz w:val="24"/>
          <w:szCs w:val="24"/>
          <w:highlight w:val="none"/>
          <w:u w:val="single"/>
          <w:shd w:val="clear" w:color="auto" w:fill="auto"/>
          <w:lang w:val="en-US" w:eastAsia="zh-CN"/>
        </w:rPr>
        <w:t>0</w:t>
      </w:r>
      <w:r>
        <w:rPr>
          <w:rFonts w:hint="eastAsia" w:ascii="宋体" w:hAnsi="宋体" w:eastAsia="宋体" w:cs="宋体"/>
          <w:color w:val="auto"/>
          <w:sz w:val="24"/>
          <w:szCs w:val="24"/>
          <w:highlight w:val="none"/>
          <w:shd w:val="clear" w:color="auto" w:fill="auto"/>
          <w:lang w:val="en-US" w:eastAsia="zh-CN"/>
        </w:rPr>
        <w:t>个日历天的，视为单项违约，甲方有权终止单项设备供货，乙方应向甲方支付单项货物中标金额</w:t>
      </w:r>
      <w:r>
        <w:rPr>
          <w:rFonts w:hint="eastAsia" w:ascii="宋体" w:hAnsi="宋体" w:eastAsia="宋体" w:cs="宋体"/>
          <w:color w:val="auto"/>
          <w:sz w:val="24"/>
          <w:szCs w:val="24"/>
          <w:highlight w:val="none"/>
          <w:u w:val="single"/>
          <w:shd w:val="clear" w:color="auto" w:fill="auto"/>
          <w:lang w:val="en-US" w:eastAsia="zh-CN"/>
        </w:rPr>
        <w:t>200%</w:t>
      </w:r>
      <w:r>
        <w:rPr>
          <w:rFonts w:hint="eastAsia" w:ascii="宋体" w:hAnsi="宋体" w:eastAsia="宋体" w:cs="宋体"/>
          <w:color w:val="auto"/>
          <w:sz w:val="24"/>
          <w:szCs w:val="24"/>
          <w:highlight w:val="none"/>
          <w:shd w:val="clear" w:color="auto" w:fill="auto"/>
          <w:lang w:val="en-US" w:eastAsia="zh-CN"/>
        </w:rPr>
        <w:t>的违约金。</w:t>
      </w:r>
    </w:p>
    <w:p w14:paraId="380DA3D5">
      <w:pPr>
        <w:keepNext w:val="0"/>
        <w:keepLines w:val="0"/>
        <w:pageBreakBefore w:val="0"/>
        <w:widowControl w:val="0"/>
        <w:spacing w:before="120" w:after="120" w:line="360" w:lineRule="auto"/>
        <w:ind w:left="718" w:firstLine="98"/>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3、超过总金额</w:t>
      </w:r>
      <w:r>
        <w:rPr>
          <w:rFonts w:hint="eastAsia" w:ascii="宋体" w:hAnsi="宋体" w:cs="宋体"/>
          <w:color w:val="auto"/>
          <w:sz w:val="24"/>
          <w:szCs w:val="24"/>
          <w:highlight w:val="none"/>
          <w:shd w:val="clear" w:color="auto" w:fill="auto"/>
          <w:lang w:val="en-US" w:eastAsia="zh-CN"/>
        </w:rPr>
        <w:t>50</w:t>
      </w:r>
      <w:r>
        <w:rPr>
          <w:rFonts w:hint="eastAsia" w:ascii="宋体" w:hAnsi="宋体" w:eastAsia="宋体" w:cs="宋体"/>
          <w:color w:val="auto"/>
          <w:sz w:val="24"/>
          <w:szCs w:val="24"/>
          <w:highlight w:val="none"/>
          <w:shd w:val="clear" w:color="auto" w:fill="auto"/>
          <w:lang w:val="en-US" w:eastAsia="zh-CN"/>
        </w:rPr>
        <w:t>%以上货物逾期交付的视为总项目逾期，</w:t>
      </w:r>
      <w:r>
        <w:rPr>
          <w:rFonts w:hint="eastAsia" w:ascii="宋体" w:hAnsi="宋体" w:eastAsia="宋体" w:cs="宋体"/>
          <w:color w:val="auto"/>
          <w:sz w:val="24"/>
          <w:szCs w:val="24"/>
          <w:highlight w:val="none"/>
          <w:shd w:val="clear" w:color="auto" w:fill="auto"/>
          <w:lang w:eastAsia="zh-CN"/>
        </w:rPr>
        <w:t>乙方应按</w:t>
      </w:r>
      <w:r>
        <w:rPr>
          <w:rFonts w:hint="eastAsia" w:ascii="宋体" w:hAnsi="宋体" w:eastAsia="宋体" w:cs="宋体"/>
          <w:color w:val="auto"/>
          <w:sz w:val="24"/>
          <w:szCs w:val="24"/>
          <w:highlight w:val="none"/>
          <w:shd w:val="clear" w:color="auto" w:fill="auto"/>
          <w:lang w:val="en-US" w:eastAsia="zh-CN"/>
        </w:rPr>
        <w:t>合同总价</w:t>
      </w:r>
      <w:r>
        <w:rPr>
          <w:rFonts w:hint="eastAsia" w:ascii="宋体" w:hAnsi="宋体" w:eastAsia="宋体" w:cs="宋体"/>
          <w:color w:val="auto"/>
          <w:sz w:val="24"/>
          <w:szCs w:val="24"/>
          <w:highlight w:val="none"/>
          <w:shd w:val="clear" w:color="auto" w:fill="auto"/>
          <w:lang w:eastAsia="zh-CN"/>
        </w:rPr>
        <w:t>每</w:t>
      </w:r>
      <w:r>
        <w:rPr>
          <w:rFonts w:hint="eastAsia" w:ascii="宋体" w:hAnsi="宋体" w:eastAsia="宋体" w:cs="宋体"/>
          <w:color w:val="auto"/>
          <w:sz w:val="24"/>
          <w:szCs w:val="24"/>
          <w:highlight w:val="none"/>
          <w:shd w:val="clear" w:color="auto" w:fill="auto"/>
          <w:lang w:val="en-US" w:eastAsia="zh-CN"/>
        </w:rPr>
        <w:t>日历天</w:t>
      </w:r>
      <w:r>
        <w:rPr>
          <w:rFonts w:hint="eastAsia" w:ascii="宋体" w:hAnsi="宋体" w:eastAsia="宋体" w:cs="宋体"/>
          <w:color w:val="auto"/>
          <w:sz w:val="24"/>
          <w:szCs w:val="24"/>
          <w:highlight w:val="none"/>
          <w:u w:val="single"/>
          <w:shd w:val="clear" w:color="auto" w:fill="auto"/>
          <w:lang w:val="en-US" w:eastAsia="zh-CN"/>
        </w:rPr>
        <w:t>1%</w:t>
      </w:r>
      <w:r>
        <w:rPr>
          <w:rFonts w:hint="eastAsia" w:ascii="宋体" w:hAnsi="宋体" w:eastAsia="宋体" w:cs="宋体"/>
          <w:color w:val="auto"/>
          <w:sz w:val="24"/>
          <w:szCs w:val="24"/>
          <w:highlight w:val="none"/>
          <w:shd w:val="clear" w:color="auto" w:fill="auto"/>
          <w:lang w:eastAsia="zh-CN"/>
        </w:rPr>
        <w:t>向甲方支付违约金。</w:t>
      </w:r>
    </w:p>
    <w:p w14:paraId="13249835">
      <w:pPr>
        <w:keepNext w:val="0"/>
        <w:keepLines w:val="0"/>
        <w:pageBreakBefore w:val="0"/>
        <w:widowControl w:val="0"/>
        <w:spacing w:before="120" w:after="120" w:line="360" w:lineRule="auto"/>
        <w:ind w:left="718" w:firstLine="98"/>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4、总项目逾期的，逾期交付超过</w:t>
      </w:r>
      <w:r>
        <w:rPr>
          <w:rFonts w:hint="eastAsia" w:ascii="宋体" w:hAnsi="宋体" w:eastAsia="宋体" w:cs="宋体"/>
          <w:color w:val="auto"/>
          <w:sz w:val="24"/>
          <w:szCs w:val="24"/>
          <w:highlight w:val="none"/>
          <w:u w:val="single"/>
          <w:shd w:val="clear" w:color="auto" w:fill="auto"/>
          <w:lang w:val="en-US" w:eastAsia="zh-CN"/>
        </w:rPr>
        <w:t>30</w:t>
      </w:r>
      <w:r>
        <w:rPr>
          <w:rFonts w:hint="eastAsia" w:ascii="宋体" w:hAnsi="宋体" w:eastAsia="宋体" w:cs="宋体"/>
          <w:color w:val="auto"/>
          <w:sz w:val="24"/>
          <w:szCs w:val="24"/>
          <w:highlight w:val="none"/>
          <w:shd w:val="clear" w:color="auto" w:fill="auto"/>
          <w:lang w:val="en-US" w:eastAsia="zh-CN"/>
        </w:rPr>
        <w:t>个日历天的，</w:t>
      </w:r>
      <w:r>
        <w:rPr>
          <w:rFonts w:hint="eastAsia" w:ascii="宋体" w:hAnsi="宋体" w:eastAsia="宋体" w:cs="宋体"/>
          <w:color w:val="auto"/>
          <w:sz w:val="24"/>
          <w:szCs w:val="24"/>
          <w:highlight w:val="none"/>
          <w:shd w:val="clear" w:color="auto" w:fill="auto"/>
          <w:lang w:eastAsia="zh-CN"/>
        </w:rPr>
        <w:t>甲方</w:t>
      </w:r>
      <w:r>
        <w:rPr>
          <w:rFonts w:hint="eastAsia" w:ascii="宋体" w:hAnsi="宋体" w:eastAsia="宋体" w:cs="宋体"/>
          <w:color w:val="auto"/>
          <w:sz w:val="24"/>
          <w:szCs w:val="24"/>
          <w:highlight w:val="none"/>
          <w:shd w:val="clear" w:color="auto" w:fill="auto"/>
          <w:lang w:val="en-US" w:eastAsia="zh-CN"/>
        </w:rPr>
        <w:t>有权单方面</w:t>
      </w:r>
      <w:r>
        <w:rPr>
          <w:rFonts w:hint="eastAsia" w:ascii="宋体" w:hAnsi="宋体" w:eastAsia="宋体" w:cs="宋体"/>
          <w:color w:val="auto"/>
          <w:sz w:val="24"/>
          <w:szCs w:val="24"/>
          <w:highlight w:val="none"/>
          <w:shd w:val="clear" w:color="auto" w:fill="auto"/>
          <w:lang w:eastAsia="zh-CN"/>
        </w:rPr>
        <w:t>解除合同，乙方应向甲方支付合同总</w:t>
      </w:r>
      <w:r>
        <w:rPr>
          <w:rFonts w:hint="eastAsia" w:ascii="宋体" w:hAnsi="宋体" w:eastAsia="宋体" w:cs="宋体"/>
          <w:color w:val="auto"/>
          <w:sz w:val="24"/>
          <w:szCs w:val="24"/>
          <w:highlight w:val="none"/>
          <w:shd w:val="clear" w:color="auto" w:fill="auto"/>
          <w:lang w:val="en-US" w:eastAsia="zh-CN"/>
        </w:rPr>
        <w:t>价</w:t>
      </w:r>
      <w:r>
        <w:rPr>
          <w:rFonts w:hint="eastAsia" w:ascii="宋体" w:hAnsi="宋体" w:cs="宋体"/>
          <w:color w:val="auto"/>
          <w:sz w:val="24"/>
          <w:szCs w:val="24"/>
          <w:highlight w:val="none"/>
          <w:u w:val="single"/>
          <w:shd w:val="clear" w:color="auto" w:fill="auto"/>
          <w:lang w:val="en-US" w:eastAsia="zh-CN"/>
        </w:rPr>
        <w:t>3</w:t>
      </w:r>
      <w:r>
        <w:rPr>
          <w:rFonts w:hint="eastAsia" w:ascii="宋体" w:hAnsi="宋体" w:eastAsia="宋体" w:cs="宋体"/>
          <w:color w:val="auto"/>
          <w:sz w:val="24"/>
          <w:szCs w:val="24"/>
          <w:highlight w:val="none"/>
          <w:u w:val="single"/>
          <w:shd w:val="clear" w:color="auto" w:fill="auto"/>
          <w:lang w:val="en-US" w:eastAsia="zh-CN"/>
        </w:rPr>
        <w:t>0%</w:t>
      </w:r>
      <w:r>
        <w:rPr>
          <w:rFonts w:hint="eastAsia" w:ascii="宋体" w:hAnsi="宋体" w:eastAsia="宋体" w:cs="宋体"/>
          <w:color w:val="auto"/>
          <w:sz w:val="24"/>
          <w:szCs w:val="24"/>
          <w:highlight w:val="none"/>
          <w:shd w:val="clear" w:color="auto" w:fill="auto"/>
          <w:lang w:eastAsia="zh-CN"/>
        </w:rPr>
        <w:t>的违约金。</w:t>
      </w:r>
    </w:p>
    <w:p w14:paraId="6C983249">
      <w:pPr>
        <w:keepNext w:val="0"/>
        <w:keepLines w:val="0"/>
        <w:pageBreakBefore w:val="0"/>
        <w:widowControl w:val="0"/>
        <w:spacing w:before="120" w:after="120" w:line="360" w:lineRule="auto"/>
        <w:ind w:left="718" w:firstLine="98"/>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5、违约金的支付</w:t>
      </w:r>
    </w:p>
    <w:p w14:paraId="5124B0FB">
      <w:pPr>
        <w:keepNext w:val="0"/>
        <w:keepLines w:val="0"/>
        <w:pageBreakBefore w:val="0"/>
        <w:widowControl w:val="0"/>
        <w:spacing w:before="120" w:after="120" w:line="360" w:lineRule="auto"/>
        <w:ind w:firstLine="7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①违约金从履约保证金中扣除；</w:t>
      </w:r>
    </w:p>
    <w:p w14:paraId="624EEAB9">
      <w:pPr>
        <w:keepNext w:val="0"/>
        <w:keepLines w:val="0"/>
        <w:pageBreakBefore w:val="0"/>
        <w:widowControl w:val="0"/>
        <w:tabs>
          <w:tab w:val="left" w:pos="1036"/>
        </w:tabs>
        <w:spacing w:before="120" w:after="120" w:line="360" w:lineRule="auto"/>
        <w:ind w:firstLine="72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②违约金超过履约保证金部分由应付货款中扣除；</w:t>
      </w:r>
    </w:p>
    <w:p w14:paraId="7F7AB0AE">
      <w:pPr>
        <w:keepNext w:val="0"/>
        <w:keepLines w:val="0"/>
        <w:pageBreakBefore w:val="0"/>
        <w:widowControl w:val="0"/>
        <w:spacing w:before="120" w:after="120" w:line="360" w:lineRule="auto"/>
        <w:ind w:left="718" w:firstLine="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③违约金超过应付货款的差额部分，乙方须支付差额部分，乙方拒绝支付的，甲方可向法院起诉要求乙方支付。</w:t>
      </w:r>
    </w:p>
    <w:p w14:paraId="00C0D68C">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4</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 xml:space="preserve"> 乙方所交的货物品种、型号、规格、技术参数、质量不符合合同规定及采购文件规定标准的，甲方有权拒收该货物</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且视为乙方逾期交货，若因此产生的违约责任按照1</w:t>
      </w:r>
      <w:r>
        <w:rPr>
          <w:rFonts w:hint="eastAsia" w:ascii="宋体" w:hAnsi="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lang w:val="en-US" w:eastAsia="zh-CN"/>
        </w:rPr>
        <w:t>.1条款执行</w:t>
      </w:r>
      <w:r>
        <w:rPr>
          <w:rFonts w:hint="eastAsia" w:ascii="宋体" w:hAnsi="宋体" w:eastAsia="宋体" w:cs="宋体"/>
          <w:color w:val="auto"/>
          <w:sz w:val="24"/>
          <w:szCs w:val="24"/>
          <w:highlight w:val="none"/>
          <w:shd w:val="clear" w:color="auto" w:fill="auto"/>
        </w:rPr>
        <w:t>。</w:t>
      </w:r>
    </w:p>
    <w:p w14:paraId="1A16ACA3">
      <w:pPr>
        <w:keepNext w:val="0"/>
        <w:keepLines w:val="0"/>
        <w:pageBreakBefore w:val="0"/>
        <w:widowControl w:val="0"/>
        <w:spacing w:before="120" w:after="12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en-US"/>
        </w:rPr>
        <w:t>五</w:t>
      </w:r>
      <w:r>
        <w:rPr>
          <w:rFonts w:hint="eastAsia" w:ascii="宋体" w:hAnsi="宋体" w:eastAsia="宋体" w:cs="宋体"/>
          <w:b/>
          <w:color w:val="auto"/>
          <w:sz w:val="24"/>
          <w:szCs w:val="24"/>
          <w:highlight w:val="none"/>
          <w:shd w:val="clear" w:color="auto" w:fill="auto"/>
        </w:rPr>
        <w:t>、不可抗力事件处理</w:t>
      </w:r>
    </w:p>
    <w:p w14:paraId="6B54A69F">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.1 在合同有效期内，任何一方因不可抗力事件导致不能履行合同，则合同履行期可延长，其延长期与不可抗力影响期相同。</w:t>
      </w:r>
    </w:p>
    <w:p w14:paraId="0B4F44B6">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.2 不可抗力事件发生后，应立即通知对方，并寄送有关权威机构出具的证明。</w:t>
      </w:r>
    </w:p>
    <w:p w14:paraId="362FF7DB">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.3 不可抗力事件延续120天以上，</w:t>
      </w:r>
      <w:r>
        <w:rPr>
          <w:rFonts w:hint="eastAsia" w:ascii="宋体" w:hAnsi="宋体" w:cs="宋体"/>
          <w:color w:val="auto"/>
          <w:sz w:val="24"/>
          <w:szCs w:val="24"/>
          <w:highlight w:val="none"/>
          <w:shd w:val="clear" w:color="auto" w:fill="auto"/>
          <w:lang w:val="en-US" w:eastAsia="zh-CN"/>
        </w:rPr>
        <w:t>甲</w:t>
      </w:r>
      <w:r>
        <w:rPr>
          <w:rFonts w:hint="eastAsia" w:ascii="宋体" w:hAnsi="宋体" w:eastAsia="宋体" w:cs="宋体"/>
          <w:color w:val="auto"/>
          <w:sz w:val="24"/>
          <w:szCs w:val="24"/>
          <w:highlight w:val="none"/>
          <w:shd w:val="clear" w:color="auto" w:fill="auto"/>
        </w:rPr>
        <w:t>方</w:t>
      </w:r>
      <w:r>
        <w:rPr>
          <w:rFonts w:hint="eastAsia" w:ascii="宋体" w:hAnsi="宋体" w:cs="宋体"/>
          <w:color w:val="auto"/>
          <w:sz w:val="24"/>
          <w:szCs w:val="24"/>
          <w:highlight w:val="none"/>
          <w:shd w:val="clear" w:color="auto" w:fill="auto"/>
          <w:lang w:val="en-US" w:eastAsia="zh-CN"/>
        </w:rPr>
        <w:t>有权选择终止合同或</w:t>
      </w:r>
      <w:r>
        <w:rPr>
          <w:rFonts w:hint="eastAsia" w:ascii="宋体" w:hAnsi="宋体" w:eastAsia="宋体" w:cs="宋体"/>
          <w:color w:val="auto"/>
          <w:sz w:val="24"/>
          <w:szCs w:val="24"/>
          <w:highlight w:val="none"/>
          <w:shd w:val="clear" w:color="auto" w:fill="auto"/>
        </w:rPr>
        <w:t>继续履行合同。</w:t>
      </w:r>
    </w:p>
    <w:p w14:paraId="5EC261B4">
      <w:pPr>
        <w:keepNext w:val="0"/>
        <w:keepLines w:val="0"/>
        <w:pageBreakBefore w:val="0"/>
        <w:widowControl w:val="0"/>
        <w:spacing w:before="120" w:after="12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en-US"/>
        </w:rPr>
        <w:t>六</w:t>
      </w:r>
      <w:r>
        <w:rPr>
          <w:rFonts w:hint="eastAsia" w:ascii="宋体" w:hAnsi="宋体" w:eastAsia="宋体" w:cs="宋体"/>
          <w:b/>
          <w:color w:val="auto"/>
          <w:sz w:val="24"/>
          <w:szCs w:val="24"/>
          <w:highlight w:val="none"/>
          <w:shd w:val="clear" w:color="auto" w:fill="auto"/>
        </w:rPr>
        <w:t>、解决争议的方法</w:t>
      </w:r>
    </w:p>
    <w:p w14:paraId="4BC2DC8F">
      <w:pPr>
        <w:keepNext w:val="0"/>
        <w:keepLines w:val="0"/>
        <w:pageBreakBefore w:val="0"/>
        <w:widowControl w:val="0"/>
        <w:spacing w:before="120" w:after="120" w:line="360" w:lineRule="auto"/>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双方在执行合同中所发生的一切争议，</w:t>
      </w:r>
      <w:r>
        <w:rPr>
          <w:rFonts w:hint="eastAsia" w:ascii="宋体" w:hAnsi="宋体" w:eastAsia="宋体" w:cs="宋体"/>
          <w:color w:val="auto"/>
          <w:sz w:val="24"/>
          <w:szCs w:val="24"/>
          <w:highlight w:val="none"/>
          <w:shd w:val="clear" w:color="auto" w:fill="auto"/>
          <w:lang w:val="en-US" w:eastAsia="zh-CN"/>
        </w:rPr>
        <w:t>可</w:t>
      </w:r>
      <w:r>
        <w:rPr>
          <w:rFonts w:hint="eastAsia" w:ascii="宋体" w:hAnsi="宋体" w:eastAsia="宋体" w:cs="宋体"/>
          <w:color w:val="auto"/>
          <w:sz w:val="24"/>
          <w:szCs w:val="24"/>
          <w:highlight w:val="none"/>
          <w:shd w:val="clear" w:color="auto" w:fill="auto"/>
        </w:rPr>
        <w:t>通过协商解决</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并签订补充协议</w:t>
      </w:r>
      <w:r>
        <w:rPr>
          <w:rFonts w:hint="eastAsia" w:ascii="宋体" w:hAnsi="宋体" w:eastAsia="宋体" w:cs="宋体"/>
          <w:color w:val="auto"/>
          <w:sz w:val="24"/>
          <w:szCs w:val="24"/>
          <w:highlight w:val="none"/>
          <w:shd w:val="clear" w:color="auto" w:fill="auto"/>
        </w:rPr>
        <w:t>。如协商不成，可向</w:t>
      </w:r>
      <w:r>
        <w:rPr>
          <w:rFonts w:hint="eastAsia" w:ascii="宋体" w:hAnsi="宋体" w:eastAsia="宋体" w:cs="宋体"/>
          <w:color w:val="auto"/>
          <w:sz w:val="24"/>
          <w:szCs w:val="24"/>
          <w:highlight w:val="none"/>
          <w:shd w:val="clear" w:color="auto" w:fill="auto"/>
          <w:lang w:val="en-US" w:eastAsia="zh-CN"/>
        </w:rPr>
        <w:t>甲方所在</w:t>
      </w:r>
      <w:r>
        <w:rPr>
          <w:rFonts w:hint="eastAsia" w:ascii="宋体" w:hAnsi="宋体" w:eastAsia="宋体" w:cs="宋体"/>
          <w:color w:val="auto"/>
          <w:sz w:val="24"/>
          <w:szCs w:val="24"/>
          <w:highlight w:val="none"/>
          <w:shd w:val="clear" w:color="auto" w:fill="auto"/>
        </w:rPr>
        <w:t>地</w:t>
      </w:r>
      <w:r>
        <w:rPr>
          <w:rFonts w:hint="eastAsia" w:ascii="宋体" w:hAnsi="宋体" w:eastAsia="宋体" w:cs="宋体"/>
          <w:color w:val="auto"/>
          <w:sz w:val="24"/>
          <w:szCs w:val="24"/>
          <w:highlight w:val="none"/>
          <w:shd w:val="clear" w:color="auto" w:fill="auto"/>
          <w:lang w:val="en-US" w:eastAsia="zh-CN"/>
        </w:rPr>
        <w:t>人民</w:t>
      </w:r>
      <w:r>
        <w:rPr>
          <w:rFonts w:hint="eastAsia" w:ascii="宋体" w:hAnsi="宋体" w:eastAsia="宋体" w:cs="宋体"/>
          <w:color w:val="auto"/>
          <w:sz w:val="24"/>
          <w:szCs w:val="24"/>
          <w:highlight w:val="none"/>
          <w:shd w:val="clear" w:color="auto" w:fill="auto"/>
        </w:rPr>
        <w:t>法院</w:t>
      </w:r>
      <w:r>
        <w:rPr>
          <w:rFonts w:hint="eastAsia" w:ascii="宋体" w:hAnsi="宋体" w:eastAsia="宋体" w:cs="宋体"/>
          <w:color w:val="auto"/>
          <w:sz w:val="24"/>
          <w:szCs w:val="24"/>
          <w:highlight w:val="none"/>
          <w:shd w:val="clear" w:color="auto" w:fill="auto"/>
          <w:lang w:val="en-US" w:eastAsia="zh-CN"/>
        </w:rPr>
        <w:t>提</w:t>
      </w:r>
      <w:r>
        <w:rPr>
          <w:rFonts w:hint="eastAsia" w:ascii="宋体" w:hAnsi="宋体" w:eastAsia="宋体" w:cs="宋体"/>
          <w:color w:val="auto"/>
          <w:sz w:val="24"/>
          <w:szCs w:val="24"/>
          <w:highlight w:val="none"/>
          <w:shd w:val="clear" w:color="auto" w:fill="auto"/>
        </w:rPr>
        <w:t>起诉</w:t>
      </w:r>
      <w:r>
        <w:rPr>
          <w:rFonts w:hint="eastAsia" w:ascii="宋体" w:hAnsi="宋体" w:eastAsia="宋体" w:cs="宋体"/>
          <w:color w:val="auto"/>
          <w:sz w:val="24"/>
          <w:szCs w:val="24"/>
          <w:highlight w:val="none"/>
          <w:shd w:val="clear" w:color="auto" w:fill="auto"/>
          <w:lang w:val="en-US" w:eastAsia="zh-CN"/>
        </w:rPr>
        <w:t>讼</w:t>
      </w:r>
      <w:r>
        <w:rPr>
          <w:rFonts w:hint="eastAsia" w:ascii="宋体" w:hAnsi="宋体" w:eastAsia="宋体" w:cs="宋体"/>
          <w:color w:val="auto"/>
          <w:sz w:val="24"/>
          <w:szCs w:val="24"/>
          <w:highlight w:val="none"/>
          <w:shd w:val="clear" w:color="auto" w:fill="auto"/>
        </w:rPr>
        <w:t>。</w:t>
      </w:r>
    </w:p>
    <w:p w14:paraId="3CAC3499">
      <w:pPr>
        <w:keepNext w:val="0"/>
        <w:keepLines w:val="0"/>
        <w:pageBreakBefore w:val="0"/>
        <w:widowControl w:val="0"/>
        <w:spacing w:before="120" w:after="12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en-US"/>
        </w:rPr>
        <w:t>七</w:t>
      </w:r>
      <w:r>
        <w:rPr>
          <w:rFonts w:hint="eastAsia" w:ascii="宋体" w:hAnsi="宋体" w:eastAsia="宋体" w:cs="宋体"/>
          <w:b/>
          <w:color w:val="auto"/>
          <w:sz w:val="24"/>
          <w:szCs w:val="24"/>
          <w:highlight w:val="none"/>
          <w:shd w:val="clear" w:color="auto" w:fill="auto"/>
        </w:rPr>
        <w:t>、其他</w:t>
      </w:r>
    </w:p>
    <w:p w14:paraId="3BA938AB">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7</w:t>
      </w:r>
      <w:r>
        <w:rPr>
          <w:rFonts w:hint="eastAsia" w:ascii="宋体" w:hAnsi="宋体" w:eastAsia="宋体" w:cs="宋体"/>
          <w:color w:val="auto"/>
          <w:sz w:val="24"/>
          <w:szCs w:val="24"/>
          <w:highlight w:val="none"/>
          <w:shd w:val="clear" w:color="auto" w:fill="auto"/>
        </w:rPr>
        <w:t>.1 本合同所有附件、招标文件、投标文件、中标通知书</w:t>
      </w:r>
      <w:r>
        <w:rPr>
          <w:rFonts w:hint="eastAsia" w:ascii="宋体" w:hAnsi="宋体" w:eastAsia="宋体" w:cs="宋体"/>
          <w:color w:val="auto"/>
          <w:sz w:val="24"/>
          <w:szCs w:val="24"/>
          <w:highlight w:val="none"/>
          <w:shd w:val="clear" w:color="auto" w:fill="auto"/>
          <w:lang w:val="en-US" w:eastAsia="zh-CN"/>
        </w:rPr>
        <w:t>及补充协议</w:t>
      </w:r>
      <w:r>
        <w:rPr>
          <w:rFonts w:hint="eastAsia" w:ascii="宋体" w:hAnsi="宋体" w:eastAsia="宋体" w:cs="宋体"/>
          <w:color w:val="auto"/>
          <w:sz w:val="24"/>
          <w:szCs w:val="24"/>
          <w:highlight w:val="none"/>
          <w:shd w:val="clear" w:color="auto" w:fill="auto"/>
        </w:rPr>
        <w:t>均为合同的有效组成部分，与本合同具有同等法律效力。</w:t>
      </w:r>
    </w:p>
    <w:p w14:paraId="3104D546">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7</w:t>
      </w:r>
      <w:r>
        <w:rPr>
          <w:rFonts w:hint="eastAsia" w:ascii="宋体" w:hAnsi="宋体" w:eastAsia="宋体" w:cs="宋体"/>
          <w:color w:val="auto"/>
          <w:sz w:val="24"/>
          <w:szCs w:val="24"/>
          <w:highlight w:val="none"/>
          <w:shd w:val="clear" w:color="auto" w:fill="auto"/>
        </w:rPr>
        <w:t>.2 如一方地址、电话、传真号码有变更，应在变更当日内书面通知对方，否则，应承担相应责任。</w:t>
      </w:r>
    </w:p>
    <w:p w14:paraId="5624BD46">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7</w:t>
      </w:r>
      <w:r>
        <w:rPr>
          <w:rFonts w:hint="eastAsia" w:ascii="宋体" w:hAnsi="宋体" w:eastAsia="宋体" w:cs="宋体"/>
          <w:color w:val="auto"/>
          <w:sz w:val="24"/>
          <w:szCs w:val="24"/>
          <w:highlight w:val="none"/>
          <w:shd w:val="clear" w:color="auto" w:fill="auto"/>
        </w:rPr>
        <w:t>.3 除甲方事先书面同意外，乙方不得部分或全部转让其应履行的合同项下的义务。</w:t>
      </w:r>
    </w:p>
    <w:p w14:paraId="431DA7B1">
      <w:pPr>
        <w:keepNext w:val="0"/>
        <w:keepLines w:val="0"/>
        <w:pageBreakBefore w:val="0"/>
        <w:widowControl w:val="0"/>
        <w:spacing w:before="120" w:after="120"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w:t>
      </w:r>
      <w:r>
        <w:rPr>
          <w:rFonts w:hint="eastAsia" w:ascii="宋体" w:hAnsi="宋体" w:eastAsia="宋体" w:cs="宋体"/>
          <w:b/>
          <w:color w:val="auto"/>
          <w:sz w:val="24"/>
          <w:szCs w:val="24"/>
          <w:highlight w:val="none"/>
          <w:shd w:val="clear" w:color="auto" w:fill="auto"/>
          <w:lang w:val="en-US" w:eastAsia="en-US"/>
        </w:rPr>
        <w:t>八</w:t>
      </w:r>
      <w:r>
        <w:rPr>
          <w:rFonts w:hint="eastAsia" w:ascii="宋体" w:hAnsi="宋体" w:eastAsia="宋体" w:cs="宋体"/>
          <w:b/>
          <w:color w:val="auto"/>
          <w:sz w:val="24"/>
          <w:szCs w:val="24"/>
          <w:highlight w:val="none"/>
          <w:shd w:val="clear" w:color="auto" w:fill="auto"/>
        </w:rPr>
        <w:t>、合同生效</w:t>
      </w:r>
    </w:p>
    <w:p w14:paraId="40B2B498">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8</w:t>
      </w:r>
      <w:r>
        <w:rPr>
          <w:rFonts w:hint="eastAsia" w:ascii="宋体" w:hAnsi="宋体" w:eastAsia="宋体" w:cs="宋体"/>
          <w:color w:val="auto"/>
          <w:sz w:val="24"/>
          <w:szCs w:val="24"/>
          <w:highlight w:val="none"/>
          <w:shd w:val="clear" w:color="auto" w:fill="auto"/>
        </w:rPr>
        <w:t>.1 合同经双方法定代表人或授权委托代表人签字并加盖单位公章后生效。</w:t>
      </w:r>
    </w:p>
    <w:p w14:paraId="50976DB0">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8</w:t>
      </w:r>
      <w:r>
        <w:rPr>
          <w:rFonts w:hint="eastAsia" w:ascii="宋体" w:hAnsi="宋体" w:eastAsia="宋体" w:cs="宋体"/>
          <w:color w:val="auto"/>
          <w:sz w:val="24"/>
          <w:szCs w:val="24"/>
          <w:highlight w:val="none"/>
          <w:shd w:val="clear" w:color="auto" w:fill="auto"/>
        </w:rPr>
        <w:t>.2本合同未尽事宜，遵照《中华人民共和国民法典》有关条文执行。</w:t>
      </w:r>
    </w:p>
    <w:p w14:paraId="71D2B4F4">
      <w:pPr>
        <w:keepNext w:val="0"/>
        <w:keepLines w:val="0"/>
        <w:pageBreakBefore w:val="0"/>
        <w:widowControl w:val="0"/>
        <w:spacing w:before="120" w:after="120" w:line="360" w:lineRule="auto"/>
        <w:ind w:left="624" w:hanging="6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ascii="宋体" w:hAnsi="宋体" w:eastAsia="宋体" w:cs="宋体"/>
          <w:color w:val="auto"/>
          <w:sz w:val="24"/>
          <w:szCs w:val="24"/>
          <w:highlight w:val="none"/>
          <w:shd w:val="clear" w:color="auto" w:fill="auto"/>
        </w:rPr>
        <w:t>8</w:t>
      </w:r>
      <w:r>
        <w:rPr>
          <w:rFonts w:hint="eastAsia" w:ascii="宋体" w:hAnsi="宋体" w:eastAsia="宋体" w:cs="宋体"/>
          <w:color w:val="auto"/>
          <w:sz w:val="24"/>
          <w:szCs w:val="24"/>
          <w:highlight w:val="none"/>
          <w:shd w:val="clear" w:color="auto" w:fill="auto"/>
        </w:rPr>
        <w:t xml:space="preserve">.3 本合同正本一式 </w:t>
      </w:r>
      <w:r>
        <w:rPr>
          <w:rFonts w:hint="eastAsia" w:ascii="宋体" w:hAnsi="宋体" w:eastAsia="宋体" w:cs="宋体"/>
          <w:color w:val="auto"/>
          <w:sz w:val="24"/>
          <w:szCs w:val="24"/>
          <w:highlight w:val="none"/>
          <w:shd w:val="clear" w:color="auto" w:fill="auto"/>
          <w:lang w:val="en-US" w:eastAsia="zh-CN"/>
        </w:rPr>
        <w:t>伍</w:t>
      </w:r>
      <w:r>
        <w:rPr>
          <w:rFonts w:hint="eastAsia" w:ascii="宋体" w:hAnsi="宋体" w:eastAsia="宋体" w:cs="宋体"/>
          <w:color w:val="auto"/>
          <w:sz w:val="24"/>
          <w:szCs w:val="24"/>
          <w:highlight w:val="none"/>
          <w:shd w:val="clear" w:color="auto" w:fill="auto"/>
        </w:rPr>
        <w:t xml:space="preserve"> 份。</w:t>
      </w:r>
    </w:p>
    <w:p w14:paraId="3E7C3371">
      <w:pPr>
        <w:spacing w:before="120" w:after="120" w:line="0" w:lineRule="atLeast"/>
        <w:ind w:left="479" w:hanging="240"/>
        <w:rPr>
          <w:rFonts w:hint="eastAsia" w:ascii="宋体" w:hAnsi="宋体" w:eastAsia="宋体" w:cs="宋体"/>
          <w:color w:val="auto"/>
          <w:sz w:val="24"/>
          <w:szCs w:val="24"/>
          <w:highlight w:val="none"/>
          <w:shd w:val="clear" w:color="auto" w:fill="auto"/>
        </w:rPr>
      </w:pPr>
    </w:p>
    <w:p w14:paraId="346C8999">
      <w:pPr>
        <w:spacing w:before="120" w:after="120" w:line="0" w:lineRule="atLeast"/>
        <w:ind w:left="479" w:hanging="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乙方： </w:t>
      </w:r>
    </w:p>
    <w:p w14:paraId="69B6E658">
      <w:pPr>
        <w:spacing w:before="120" w:after="12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地址：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地址： </w:t>
      </w:r>
    </w:p>
    <w:p w14:paraId="6F963B94">
      <w:pPr>
        <w:spacing w:before="120" w:after="12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法定代表人或授权代表：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法定代表人或授权代表：</w:t>
      </w:r>
    </w:p>
    <w:p w14:paraId="02451035">
      <w:pPr>
        <w:spacing w:before="120" w:after="120" w:line="0" w:lineRule="atLeast"/>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联系电话：          </w:t>
      </w:r>
    </w:p>
    <w:p w14:paraId="3F82A3E2">
      <w:pPr>
        <w:spacing w:before="120" w:after="120" w:line="0" w:lineRule="atLeast"/>
        <w:ind w:firstLine="240"/>
        <w:rPr>
          <w:rFonts w:hint="eastAsia" w:ascii="宋体" w:hAnsi="宋体" w:eastAsia="宋体" w:cs="宋体"/>
          <w:color w:val="auto"/>
          <w:sz w:val="24"/>
          <w:szCs w:val="24"/>
          <w:highlight w:val="none"/>
          <w:shd w:val="clear" w:color="auto" w:fill="auto"/>
        </w:rPr>
      </w:pPr>
    </w:p>
    <w:p w14:paraId="1A9F3B8E">
      <w:pPr>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签订日期：      年    月   日</w:t>
      </w:r>
    </w:p>
    <w:p w14:paraId="0B2122CB">
      <w:pPr>
        <w:rPr>
          <w:rFonts w:hint="eastAsia" w:ascii="宋体" w:hAnsi="宋体" w:eastAsia="宋体" w:cs="宋体"/>
          <w:color w:val="auto"/>
          <w:sz w:val="24"/>
          <w:szCs w:val="24"/>
          <w:highlight w:val="none"/>
          <w:shd w:val="clear" w:color="auto" w:fill="auto"/>
        </w:rPr>
      </w:pPr>
    </w:p>
    <w:p w14:paraId="7522025C">
      <w:pPr>
        <w:pStyle w:val="220"/>
        <w:shd w:val="clear" w:color="auto" w:fill="auto"/>
        <w:spacing w:line="360" w:lineRule="auto"/>
        <w:ind w:firstLine="200"/>
        <w:rPr>
          <w:rFonts w:hint="eastAsia" w:ascii="宋体" w:hAnsi="宋体" w:cs="Arial"/>
          <w:b/>
          <w:bCs/>
          <w:color w:val="auto"/>
          <w:sz w:val="36"/>
          <w:szCs w:val="36"/>
          <w:highlight w:val="none"/>
        </w:rPr>
      </w:pPr>
      <w:r>
        <w:rPr>
          <w:rFonts w:hint="eastAsia" w:ascii="宋体" w:hAnsi="宋体" w:eastAsia="宋体" w:cs="宋体"/>
          <w:color w:val="auto"/>
          <w:sz w:val="24"/>
          <w:szCs w:val="24"/>
          <w:highlight w:val="none"/>
          <w:shd w:val="clear" w:color="auto" w:fill="auto"/>
          <w:lang w:val="en-US" w:eastAsia="zh-CN"/>
        </w:rPr>
        <w:t>注：以上合同版本作为合同签订时的正式文本，最终签订时详细条款需参照招标文件要求及投标文件的响应情况，合同条款中的付款方式及交货期不得出现偏离。</w:t>
      </w:r>
      <w:bookmarkEnd w:id="76"/>
    </w:p>
    <w:p w14:paraId="7519A5DD">
      <w:pPr>
        <w:keepNext/>
        <w:keepLines/>
        <w:pageBreakBefore/>
        <w:shd w:val="clear" w:color="auto" w:fill="auto"/>
        <w:jc w:val="center"/>
        <w:outlineLvl w:val="0"/>
        <w:rPr>
          <w:rFonts w:hint="eastAsia"/>
          <w:b/>
          <w:color w:val="auto"/>
          <w:sz w:val="44"/>
          <w:szCs w:val="44"/>
          <w:highlight w:val="none"/>
        </w:rPr>
      </w:pPr>
      <w:bookmarkStart w:id="80" w:name="_Toc12366"/>
      <w:bookmarkStart w:id="81" w:name="_Toc514054483"/>
      <w:r>
        <w:rPr>
          <w:rFonts w:hint="eastAsia"/>
          <w:b/>
          <w:color w:val="auto"/>
          <w:sz w:val="44"/>
          <w:szCs w:val="44"/>
          <w:highlight w:val="none"/>
        </w:rPr>
        <w:t>第六部分  投标文件格式</w:t>
      </w:r>
      <w:bookmarkEnd w:id="80"/>
      <w:bookmarkEnd w:id="81"/>
    </w:p>
    <w:p w14:paraId="72A74C46">
      <w:pPr>
        <w:shd w:val="clear" w:color="auto" w:fill="auto"/>
        <w:rPr>
          <w:color w:val="auto"/>
          <w:highlight w:val="none"/>
        </w:rPr>
      </w:pPr>
    </w:p>
    <w:p w14:paraId="361E35F6">
      <w:pPr>
        <w:pStyle w:val="479"/>
        <w:shd w:val="clear" w:color="auto" w:fill="auto"/>
        <w:ind w:firstLine="321"/>
        <w:jc w:val="center"/>
        <w:outlineLvl w:val="1"/>
        <w:rPr>
          <w:color w:val="auto"/>
          <w:highlight w:val="none"/>
        </w:rPr>
      </w:pPr>
      <w:bookmarkStart w:id="82" w:name="_Toc514054484"/>
      <w:bookmarkStart w:id="83" w:name="_Toc26779"/>
      <w:r>
        <w:rPr>
          <w:color w:val="auto"/>
          <w:highlight w:val="none"/>
        </w:rPr>
        <w:t>封面</w:t>
      </w:r>
      <w:bookmarkEnd w:id="82"/>
      <w:bookmarkEnd w:id="83"/>
    </w:p>
    <w:p w14:paraId="7B6F608B">
      <w:pPr>
        <w:pStyle w:val="344"/>
        <w:shd w:val="clear" w:color="auto" w:fill="auto"/>
        <w:jc w:val="left"/>
        <w:rPr>
          <w:rFonts w:hint="eastAsia" w:ascii="黑体" w:eastAsia="黑体" w:cs="黑体"/>
          <w:color w:val="auto"/>
          <w:sz w:val="32"/>
          <w:szCs w:val="32"/>
          <w:highlight w:val="none"/>
        </w:rPr>
      </w:pPr>
    </w:p>
    <w:p w14:paraId="12C4457B">
      <w:pPr>
        <w:pStyle w:val="344"/>
        <w:shd w:val="clear" w:color="auto" w:fill="auto"/>
        <w:jc w:val="left"/>
        <w:rPr>
          <w:rFonts w:hint="eastAsia" w:ascii="黑体" w:eastAsia="黑体" w:cs="黑体"/>
          <w:color w:val="auto"/>
          <w:sz w:val="32"/>
          <w:szCs w:val="32"/>
          <w:highlight w:val="none"/>
        </w:rPr>
      </w:pPr>
    </w:p>
    <w:p w14:paraId="0FC2B502">
      <w:pPr>
        <w:pStyle w:val="344"/>
        <w:shd w:val="clear" w:color="auto" w:fill="auto"/>
        <w:jc w:val="left"/>
        <w:rPr>
          <w:rFonts w:hint="eastAsia" w:ascii="黑体" w:eastAsia="黑体" w:cs="黑体"/>
          <w:color w:val="auto"/>
          <w:sz w:val="32"/>
          <w:szCs w:val="32"/>
          <w:highlight w:val="none"/>
        </w:rPr>
      </w:pPr>
    </w:p>
    <w:p w14:paraId="3E65A5D3">
      <w:pPr>
        <w:pStyle w:val="344"/>
        <w:shd w:val="clear" w:color="auto" w:fill="auto"/>
        <w:jc w:val="center"/>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项 目 名 称  ）</w:t>
      </w:r>
    </w:p>
    <w:p w14:paraId="56FBB25D">
      <w:pPr>
        <w:pStyle w:val="344"/>
        <w:shd w:val="clear" w:color="auto" w:fill="auto"/>
        <w:jc w:val="center"/>
        <w:rPr>
          <w:rFonts w:hint="eastAsia" w:ascii="黑体" w:eastAsia="黑体" w:cs="黑体"/>
          <w:color w:val="auto"/>
          <w:sz w:val="52"/>
          <w:szCs w:val="52"/>
          <w:highlight w:val="none"/>
        </w:rPr>
      </w:pPr>
    </w:p>
    <w:p w14:paraId="41C0D251">
      <w:pPr>
        <w:pStyle w:val="344"/>
        <w:shd w:val="clear" w:color="auto" w:fill="auto"/>
        <w:jc w:val="center"/>
        <w:rPr>
          <w:rFonts w:ascii="黑体" w:eastAsia="黑体" w:cs="黑体"/>
          <w:color w:val="auto"/>
          <w:sz w:val="72"/>
          <w:szCs w:val="72"/>
          <w:highlight w:val="none"/>
        </w:rPr>
      </w:pPr>
      <w:r>
        <w:rPr>
          <w:rFonts w:hint="eastAsia" w:ascii="黑体" w:eastAsia="黑体" w:cs="黑体"/>
          <w:color w:val="auto"/>
          <w:sz w:val="72"/>
          <w:szCs w:val="72"/>
          <w:highlight w:val="none"/>
        </w:rPr>
        <w:t>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件</w:t>
      </w:r>
    </w:p>
    <w:p w14:paraId="74D7CD2A">
      <w:pPr>
        <w:pStyle w:val="344"/>
        <w:shd w:val="clear" w:color="auto" w:fill="auto"/>
        <w:jc w:val="left"/>
        <w:rPr>
          <w:rFonts w:hint="eastAsia" w:ascii="黑体" w:eastAsia="黑体" w:cs="黑体"/>
          <w:color w:val="auto"/>
          <w:sz w:val="28"/>
          <w:szCs w:val="28"/>
          <w:highlight w:val="none"/>
        </w:rPr>
      </w:pPr>
    </w:p>
    <w:p w14:paraId="1CEFE149">
      <w:pPr>
        <w:pStyle w:val="344"/>
        <w:shd w:val="clear" w:color="auto" w:fill="auto"/>
        <w:jc w:val="center"/>
        <w:rPr>
          <w:rFonts w:hint="eastAsia" w:ascii="黑体" w:eastAsia="黑体" w:cs="黑体"/>
          <w:color w:val="auto"/>
          <w:sz w:val="28"/>
          <w:szCs w:val="28"/>
          <w:highlight w:val="none"/>
        </w:rPr>
      </w:pPr>
      <w:r>
        <w:rPr>
          <w:rFonts w:hint="eastAsia" w:ascii="黑体" w:eastAsia="黑体" w:cs="黑体"/>
          <w:color w:val="auto"/>
          <w:sz w:val="28"/>
          <w:szCs w:val="28"/>
          <w:highlight w:val="none"/>
        </w:rPr>
        <w:t>（分包号）</w:t>
      </w:r>
    </w:p>
    <w:p w14:paraId="22E53804">
      <w:pPr>
        <w:pStyle w:val="344"/>
        <w:shd w:val="clear" w:color="auto" w:fill="auto"/>
        <w:jc w:val="left"/>
        <w:rPr>
          <w:rFonts w:hint="eastAsia" w:ascii="黑体" w:eastAsia="黑体" w:cs="黑体"/>
          <w:color w:val="auto"/>
          <w:sz w:val="28"/>
          <w:szCs w:val="28"/>
          <w:highlight w:val="none"/>
        </w:rPr>
      </w:pPr>
    </w:p>
    <w:p w14:paraId="17DBB85F">
      <w:pPr>
        <w:pStyle w:val="344"/>
        <w:shd w:val="clear" w:color="auto" w:fill="auto"/>
        <w:jc w:val="left"/>
        <w:rPr>
          <w:rFonts w:hint="eastAsia" w:ascii="黑体" w:eastAsia="黑体" w:cs="黑体"/>
          <w:color w:val="auto"/>
          <w:sz w:val="28"/>
          <w:szCs w:val="28"/>
          <w:highlight w:val="none"/>
        </w:rPr>
      </w:pPr>
    </w:p>
    <w:p w14:paraId="1AC4CBB7">
      <w:pPr>
        <w:pStyle w:val="344"/>
        <w:shd w:val="clear" w:color="auto" w:fill="auto"/>
        <w:jc w:val="left"/>
        <w:rPr>
          <w:rFonts w:hint="eastAsia" w:ascii="黑体" w:eastAsia="黑体" w:cs="黑体"/>
          <w:color w:val="auto"/>
          <w:sz w:val="28"/>
          <w:szCs w:val="28"/>
          <w:highlight w:val="none"/>
        </w:rPr>
      </w:pPr>
    </w:p>
    <w:p w14:paraId="59738EDE">
      <w:pPr>
        <w:pStyle w:val="344"/>
        <w:shd w:val="clear" w:color="auto" w:fill="auto"/>
        <w:jc w:val="left"/>
        <w:rPr>
          <w:rFonts w:hint="eastAsia" w:ascii="黑体" w:eastAsia="黑体" w:cs="黑体"/>
          <w:color w:val="auto"/>
          <w:sz w:val="28"/>
          <w:szCs w:val="28"/>
          <w:highlight w:val="none"/>
        </w:rPr>
      </w:pPr>
    </w:p>
    <w:p w14:paraId="0E86C7AA">
      <w:pPr>
        <w:pStyle w:val="344"/>
        <w:shd w:val="clear" w:color="auto" w:fill="auto"/>
        <w:jc w:val="left"/>
        <w:rPr>
          <w:rFonts w:hint="eastAsia" w:ascii="黑体" w:eastAsia="黑体" w:cs="黑体"/>
          <w:color w:val="auto"/>
          <w:sz w:val="28"/>
          <w:szCs w:val="28"/>
          <w:highlight w:val="none"/>
        </w:rPr>
      </w:pPr>
    </w:p>
    <w:p w14:paraId="55704449">
      <w:pPr>
        <w:pStyle w:val="344"/>
        <w:shd w:val="clear" w:color="auto" w:fill="auto"/>
        <w:jc w:val="left"/>
        <w:rPr>
          <w:rFonts w:hint="eastAsia" w:ascii="黑体" w:eastAsia="黑体" w:cs="黑体"/>
          <w:color w:val="auto"/>
          <w:sz w:val="28"/>
          <w:szCs w:val="28"/>
          <w:highlight w:val="none"/>
        </w:rPr>
      </w:pPr>
    </w:p>
    <w:p w14:paraId="2DE466E3">
      <w:pPr>
        <w:pStyle w:val="344"/>
        <w:shd w:val="clear" w:color="auto" w:fill="auto"/>
        <w:jc w:val="left"/>
        <w:rPr>
          <w:rFonts w:hint="eastAsia" w:ascii="黑体" w:eastAsia="黑体" w:cs="黑体"/>
          <w:color w:val="auto"/>
          <w:sz w:val="28"/>
          <w:szCs w:val="28"/>
          <w:highlight w:val="none"/>
        </w:rPr>
      </w:pPr>
    </w:p>
    <w:p w14:paraId="19B27D12">
      <w:pPr>
        <w:pStyle w:val="344"/>
        <w:shd w:val="clear" w:color="auto" w:fill="auto"/>
        <w:ind w:firstLine="2520"/>
        <w:rPr>
          <w:rFonts w:ascii="黑体" w:eastAsia="黑体" w:cs="黑体"/>
          <w:color w:val="auto"/>
          <w:sz w:val="28"/>
          <w:szCs w:val="28"/>
          <w:highlight w:val="none"/>
        </w:rPr>
      </w:pPr>
      <w:r>
        <w:rPr>
          <w:rFonts w:hint="eastAsia" w:ascii="黑体" w:eastAsia="黑体" w:cs="黑体"/>
          <w:color w:val="auto"/>
          <w:sz w:val="28"/>
          <w:szCs w:val="28"/>
          <w:highlight w:val="none"/>
        </w:rPr>
        <w:t>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（盖章）</w:t>
      </w:r>
    </w:p>
    <w:p w14:paraId="4B4B4599">
      <w:pPr>
        <w:pStyle w:val="344"/>
        <w:shd w:val="clear" w:color="auto" w:fill="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ascii="黑体" w:eastAsia="黑体" w:cs="黑体"/>
          <w:color w:val="auto"/>
          <w:sz w:val="28"/>
          <w:szCs w:val="28"/>
          <w:highlight w:val="none"/>
        </w:rPr>
        <w:t xml:space="preserve"> </w:t>
      </w:r>
    </w:p>
    <w:p w14:paraId="40F925EE">
      <w:pPr>
        <w:pStyle w:val="344"/>
        <w:shd w:val="clear" w:color="auto" w:fill="auto"/>
        <w:ind w:firstLine="3080"/>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日</w:t>
      </w:r>
    </w:p>
    <w:p w14:paraId="543C7632">
      <w:pPr>
        <w:shd w:val="clear" w:color="auto" w:fill="auto"/>
        <w:rPr>
          <w:color w:val="auto"/>
          <w:highlight w:val="none"/>
        </w:rPr>
      </w:pPr>
    </w:p>
    <w:p w14:paraId="7CCCC7EF">
      <w:pPr>
        <w:pStyle w:val="491"/>
        <w:shd w:val="clear" w:color="auto" w:fill="auto"/>
        <w:jc w:val="center"/>
        <w:outlineLvl w:val="1"/>
        <w:rPr>
          <w:rFonts w:hint="eastAsia"/>
          <w:color w:val="auto"/>
          <w:highlight w:val="none"/>
        </w:rPr>
      </w:pPr>
      <w:r>
        <w:rPr>
          <w:color w:val="auto"/>
          <w:highlight w:val="none"/>
        </w:rPr>
        <w:br w:type="page" w:clear="all"/>
      </w:r>
      <w:bookmarkStart w:id="84" w:name="_Toc20871"/>
      <w:bookmarkStart w:id="85" w:name="_Toc514054485"/>
      <w:r>
        <w:rPr>
          <w:rFonts w:hint="eastAsia"/>
          <w:color w:val="auto"/>
          <w:highlight w:val="none"/>
          <w:lang w:eastAsia="zh-CN"/>
        </w:rPr>
        <w:t>评</w:t>
      </w:r>
      <w:r>
        <w:rPr>
          <w:rFonts w:hint="eastAsia"/>
          <w:color w:val="auto"/>
          <w:highlight w:val="none"/>
          <w:lang w:val="en-US" w:eastAsia="zh-CN"/>
        </w:rPr>
        <w:t>审</w:t>
      </w:r>
      <w:r>
        <w:rPr>
          <w:rFonts w:hint="eastAsia"/>
          <w:color w:val="auto"/>
          <w:highlight w:val="none"/>
          <w:lang w:eastAsia="zh-CN"/>
        </w:rPr>
        <w:t>索引表</w:t>
      </w:r>
      <w:bookmarkEnd w:id="84"/>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03"/>
        <w:gridCol w:w="4157"/>
      </w:tblGrid>
      <w:tr w14:paraId="7CF96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0B36CBCA">
            <w:pPr>
              <w:pStyle w:val="491"/>
              <w:shd w:val="clear" w:color="auto" w:fill="auto"/>
              <w:jc w:val="center"/>
              <w:outlineLvl w:val="1"/>
              <w:rPr>
                <w:rFonts w:hint="eastAsia"/>
                <w:color w:val="auto"/>
                <w:highlight w:val="none"/>
              </w:rPr>
            </w:pPr>
            <w:bookmarkStart w:id="86" w:name="_Toc26621"/>
            <w:r>
              <w:rPr>
                <w:rFonts w:hint="eastAsia"/>
                <w:color w:val="auto"/>
                <w:highlight w:val="none"/>
                <w:lang w:eastAsia="zh-CN"/>
              </w:rPr>
              <w:t>资格审查项</w:t>
            </w:r>
            <w:bookmarkEnd w:id="86"/>
          </w:p>
        </w:tc>
        <w:tc>
          <w:tcPr>
            <w:tcW w:w="4157" w:type="dxa"/>
            <w:noWrap w:val="0"/>
            <w:vAlign w:val="top"/>
          </w:tcPr>
          <w:p w14:paraId="21E6B168">
            <w:pPr>
              <w:pStyle w:val="491"/>
              <w:shd w:val="clear" w:color="auto" w:fill="auto"/>
              <w:jc w:val="center"/>
              <w:outlineLvl w:val="1"/>
              <w:rPr>
                <w:rFonts w:hint="eastAsia"/>
                <w:color w:val="auto"/>
                <w:highlight w:val="none"/>
              </w:rPr>
            </w:pPr>
            <w:bookmarkStart w:id="87" w:name="_Toc23773"/>
            <w:r>
              <w:rPr>
                <w:rFonts w:hint="eastAsia"/>
                <w:color w:val="auto"/>
                <w:highlight w:val="none"/>
                <w:lang w:eastAsia="zh-CN"/>
              </w:rPr>
              <w:t>在投标文件中的页码位置</w:t>
            </w:r>
            <w:bookmarkEnd w:id="87"/>
          </w:p>
        </w:tc>
      </w:tr>
      <w:tr w14:paraId="24B5B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7372FDF3">
            <w:pPr>
              <w:pStyle w:val="491"/>
              <w:shd w:val="clear" w:color="auto" w:fill="auto"/>
              <w:jc w:val="center"/>
              <w:rPr>
                <w:rFonts w:hint="eastAsia"/>
                <w:color w:val="auto"/>
                <w:highlight w:val="none"/>
              </w:rPr>
            </w:pPr>
          </w:p>
        </w:tc>
        <w:tc>
          <w:tcPr>
            <w:tcW w:w="4157" w:type="dxa"/>
            <w:noWrap w:val="0"/>
            <w:vAlign w:val="top"/>
          </w:tcPr>
          <w:p w14:paraId="5A595372">
            <w:pPr>
              <w:pStyle w:val="491"/>
              <w:shd w:val="clear" w:color="auto" w:fill="auto"/>
              <w:jc w:val="center"/>
              <w:rPr>
                <w:rFonts w:hint="eastAsia"/>
                <w:color w:val="auto"/>
                <w:highlight w:val="none"/>
              </w:rPr>
            </w:pPr>
          </w:p>
        </w:tc>
      </w:tr>
      <w:tr w14:paraId="53B33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3A10523C">
            <w:pPr>
              <w:pStyle w:val="491"/>
              <w:shd w:val="clear" w:color="auto" w:fill="auto"/>
              <w:jc w:val="center"/>
              <w:rPr>
                <w:rFonts w:hint="eastAsia"/>
                <w:color w:val="auto"/>
                <w:highlight w:val="none"/>
              </w:rPr>
            </w:pPr>
          </w:p>
        </w:tc>
        <w:tc>
          <w:tcPr>
            <w:tcW w:w="4157" w:type="dxa"/>
            <w:noWrap w:val="0"/>
            <w:vAlign w:val="top"/>
          </w:tcPr>
          <w:p w14:paraId="436B0664">
            <w:pPr>
              <w:pStyle w:val="491"/>
              <w:shd w:val="clear" w:color="auto" w:fill="auto"/>
              <w:jc w:val="center"/>
              <w:rPr>
                <w:rFonts w:hint="eastAsia"/>
                <w:color w:val="auto"/>
                <w:highlight w:val="none"/>
              </w:rPr>
            </w:pPr>
          </w:p>
        </w:tc>
      </w:tr>
      <w:tr w14:paraId="7EB05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5E30619C">
            <w:pPr>
              <w:pStyle w:val="491"/>
              <w:shd w:val="clear" w:color="auto" w:fill="auto"/>
              <w:jc w:val="center"/>
              <w:rPr>
                <w:rFonts w:hint="eastAsia"/>
                <w:color w:val="auto"/>
                <w:highlight w:val="none"/>
              </w:rPr>
            </w:pPr>
          </w:p>
        </w:tc>
        <w:tc>
          <w:tcPr>
            <w:tcW w:w="4157" w:type="dxa"/>
            <w:noWrap w:val="0"/>
            <w:vAlign w:val="top"/>
          </w:tcPr>
          <w:p w14:paraId="0F4234CB">
            <w:pPr>
              <w:pStyle w:val="491"/>
              <w:shd w:val="clear" w:color="auto" w:fill="auto"/>
              <w:jc w:val="center"/>
              <w:rPr>
                <w:rFonts w:hint="eastAsia"/>
                <w:color w:val="auto"/>
                <w:highlight w:val="none"/>
              </w:rPr>
            </w:pPr>
          </w:p>
        </w:tc>
      </w:tr>
      <w:tr w14:paraId="5E747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24C312C4">
            <w:pPr>
              <w:pStyle w:val="491"/>
              <w:shd w:val="clear" w:color="auto" w:fill="auto"/>
              <w:jc w:val="center"/>
              <w:rPr>
                <w:rFonts w:hint="eastAsia"/>
                <w:color w:val="auto"/>
                <w:highlight w:val="none"/>
              </w:rPr>
            </w:pPr>
          </w:p>
        </w:tc>
        <w:tc>
          <w:tcPr>
            <w:tcW w:w="4157" w:type="dxa"/>
            <w:noWrap w:val="0"/>
            <w:vAlign w:val="top"/>
          </w:tcPr>
          <w:p w14:paraId="2A8EF5C9">
            <w:pPr>
              <w:pStyle w:val="491"/>
              <w:shd w:val="clear" w:color="auto" w:fill="auto"/>
              <w:jc w:val="center"/>
              <w:rPr>
                <w:rFonts w:hint="eastAsia"/>
                <w:color w:val="auto"/>
                <w:highlight w:val="none"/>
              </w:rPr>
            </w:pPr>
          </w:p>
        </w:tc>
      </w:tr>
      <w:tr w14:paraId="58B1B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24899E2C">
            <w:pPr>
              <w:pStyle w:val="491"/>
              <w:shd w:val="clear" w:color="auto" w:fill="auto"/>
              <w:jc w:val="center"/>
              <w:rPr>
                <w:rFonts w:hint="eastAsia"/>
                <w:color w:val="auto"/>
                <w:highlight w:val="none"/>
              </w:rPr>
            </w:pPr>
          </w:p>
        </w:tc>
        <w:tc>
          <w:tcPr>
            <w:tcW w:w="4157" w:type="dxa"/>
            <w:noWrap w:val="0"/>
            <w:vAlign w:val="top"/>
          </w:tcPr>
          <w:p w14:paraId="30A79273">
            <w:pPr>
              <w:pStyle w:val="491"/>
              <w:shd w:val="clear" w:color="auto" w:fill="auto"/>
              <w:jc w:val="center"/>
              <w:rPr>
                <w:rFonts w:hint="eastAsia"/>
                <w:color w:val="auto"/>
                <w:highlight w:val="none"/>
              </w:rPr>
            </w:pPr>
          </w:p>
        </w:tc>
      </w:tr>
      <w:tr w14:paraId="662B2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1117BA06">
            <w:pPr>
              <w:pStyle w:val="491"/>
              <w:shd w:val="clear" w:color="auto" w:fill="auto"/>
              <w:jc w:val="center"/>
              <w:outlineLvl w:val="1"/>
              <w:rPr>
                <w:rFonts w:hint="eastAsia"/>
                <w:color w:val="auto"/>
                <w:highlight w:val="none"/>
              </w:rPr>
            </w:pPr>
            <w:bookmarkStart w:id="88" w:name="_Toc4520"/>
            <w:r>
              <w:rPr>
                <w:rFonts w:hint="eastAsia"/>
                <w:color w:val="auto"/>
                <w:highlight w:val="none"/>
                <w:lang w:val="en-US" w:eastAsia="zh-CN"/>
              </w:rPr>
              <w:t>......</w:t>
            </w:r>
            <w:bookmarkEnd w:id="88"/>
          </w:p>
        </w:tc>
        <w:tc>
          <w:tcPr>
            <w:tcW w:w="4157" w:type="dxa"/>
            <w:noWrap w:val="0"/>
            <w:vAlign w:val="top"/>
          </w:tcPr>
          <w:p w14:paraId="1892C9C1">
            <w:pPr>
              <w:pStyle w:val="491"/>
              <w:shd w:val="clear" w:color="auto" w:fill="auto"/>
              <w:jc w:val="center"/>
              <w:rPr>
                <w:rFonts w:hint="eastAsia"/>
                <w:color w:val="auto"/>
                <w:highlight w:val="none"/>
              </w:rPr>
            </w:pPr>
          </w:p>
        </w:tc>
      </w:tr>
      <w:tr w14:paraId="1256E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5D820596">
            <w:pPr>
              <w:pStyle w:val="491"/>
              <w:shd w:val="clear" w:color="auto" w:fill="auto"/>
              <w:jc w:val="center"/>
              <w:outlineLvl w:val="1"/>
              <w:rPr>
                <w:rFonts w:hint="eastAsia"/>
                <w:color w:val="auto"/>
                <w:highlight w:val="none"/>
              </w:rPr>
            </w:pPr>
            <w:bookmarkStart w:id="89" w:name="_Toc17522"/>
            <w:r>
              <w:rPr>
                <w:rFonts w:hint="eastAsia"/>
                <w:color w:val="auto"/>
                <w:highlight w:val="none"/>
                <w:lang w:eastAsia="zh-CN"/>
              </w:rPr>
              <w:t>符合性审查</w:t>
            </w:r>
            <w:bookmarkEnd w:id="89"/>
          </w:p>
        </w:tc>
        <w:tc>
          <w:tcPr>
            <w:tcW w:w="4157" w:type="dxa"/>
            <w:noWrap w:val="0"/>
            <w:vAlign w:val="top"/>
          </w:tcPr>
          <w:p w14:paraId="0E80E3F3">
            <w:pPr>
              <w:pStyle w:val="491"/>
              <w:shd w:val="clear" w:color="auto" w:fill="auto"/>
              <w:jc w:val="center"/>
              <w:outlineLvl w:val="1"/>
              <w:rPr>
                <w:rFonts w:hint="eastAsia"/>
                <w:color w:val="auto"/>
                <w:highlight w:val="none"/>
              </w:rPr>
            </w:pPr>
            <w:bookmarkStart w:id="90" w:name="_Toc22080"/>
            <w:r>
              <w:rPr>
                <w:rFonts w:hint="eastAsia"/>
                <w:color w:val="auto"/>
                <w:highlight w:val="none"/>
                <w:lang w:eastAsia="zh-CN"/>
              </w:rPr>
              <w:t>在投标文件中的页码位置</w:t>
            </w:r>
            <w:bookmarkEnd w:id="90"/>
          </w:p>
        </w:tc>
      </w:tr>
      <w:tr w14:paraId="1DBD5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622816DA">
            <w:pPr>
              <w:pStyle w:val="491"/>
              <w:shd w:val="clear" w:color="auto" w:fill="auto"/>
              <w:jc w:val="center"/>
              <w:rPr>
                <w:rFonts w:hint="eastAsia"/>
                <w:color w:val="auto"/>
                <w:highlight w:val="none"/>
              </w:rPr>
            </w:pPr>
          </w:p>
        </w:tc>
        <w:tc>
          <w:tcPr>
            <w:tcW w:w="4157" w:type="dxa"/>
            <w:noWrap w:val="0"/>
            <w:vAlign w:val="top"/>
          </w:tcPr>
          <w:p w14:paraId="0231867F">
            <w:pPr>
              <w:pStyle w:val="491"/>
              <w:shd w:val="clear" w:color="auto" w:fill="auto"/>
              <w:jc w:val="center"/>
              <w:rPr>
                <w:rFonts w:hint="eastAsia"/>
                <w:color w:val="auto"/>
                <w:highlight w:val="none"/>
              </w:rPr>
            </w:pPr>
          </w:p>
        </w:tc>
      </w:tr>
      <w:tr w14:paraId="53CE2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0513E93D">
            <w:pPr>
              <w:pStyle w:val="491"/>
              <w:shd w:val="clear" w:color="auto" w:fill="auto"/>
              <w:jc w:val="center"/>
              <w:rPr>
                <w:rFonts w:hint="eastAsia"/>
                <w:color w:val="auto"/>
                <w:highlight w:val="none"/>
              </w:rPr>
            </w:pPr>
          </w:p>
        </w:tc>
        <w:tc>
          <w:tcPr>
            <w:tcW w:w="4157" w:type="dxa"/>
            <w:noWrap w:val="0"/>
            <w:vAlign w:val="top"/>
          </w:tcPr>
          <w:p w14:paraId="1D7174C7">
            <w:pPr>
              <w:pStyle w:val="491"/>
              <w:shd w:val="clear" w:color="auto" w:fill="auto"/>
              <w:jc w:val="center"/>
              <w:rPr>
                <w:rFonts w:hint="eastAsia"/>
                <w:color w:val="auto"/>
                <w:highlight w:val="none"/>
              </w:rPr>
            </w:pPr>
          </w:p>
        </w:tc>
      </w:tr>
      <w:tr w14:paraId="679F3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5C7B08D0">
            <w:pPr>
              <w:pStyle w:val="491"/>
              <w:shd w:val="clear" w:color="auto" w:fill="auto"/>
              <w:jc w:val="center"/>
              <w:rPr>
                <w:rFonts w:hint="eastAsia"/>
                <w:color w:val="auto"/>
                <w:highlight w:val="none"/>
              </w:rPr>
            </w:pPr>
          </w:p>
        </w:tc>
        <w:tc>
          <w:tcPr>
            <w:tcW w:w="4157" w:type="dxa"/>
            <w:noWrap w:val="0"/>
            <w:vAlign w:val="top"/>
          </w:tcPr>
          <w:p w14:paraId="033D0489">
            <w:pPr>
              <w:pStyle w:val="491"/>
              <w:shd w:val="clear" w:color="auto" w:fill="auto"/>
              <w:jc w:val="center"/>
              <w:rPr>
                <w:rFonts w:hint="eastAsia"/>
                <w:color w:val="auto"/>
                <w:highlight w:val="none"/>
              </w:rPr>
            </w:pPr>
          </w:p>
        </w:tc>
      </w:tr>
      <w:tr w14:paraId="7302F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5F4C9C62">
            <w:pPr>
              <w:pStyle w:val="491"/>
              <w:shd w:val="clear" w:color="auto" w:fill="auto"/>
              <w:jc w:val="center"/>
              <w:rPr>
                <w:rFonts w:hint="eastAsia"/>
                <w:color w:val="auto"/>
                <w:highlight w:val="none"/>
              </w:rPr>
            </w:pPr>
          </w:p>
        </w:tc>
        <w:tc>
          <w:tcPr>
            <w:tcW w:w="4157" w:type="dxa"/>
            <w:noWrap w:val="0"/>
            <w:vAlign w:val="top"/>
          </w:tcPr>
          <w:p w14:paraId="72A441B7">
            <w:pPr>
              <w:pStyle w:val="491"/>
              <w:shd w:val="clear" w:color="auto" w:fill="auto"/>
              <w:jc w:val="center"/>
              <w:rPr>
                <w:rFonts w:hint="eastAsia"/>
                <w:color w:val="auto"/>
                <w:highlight w:val="none"/>
              </w:rPr>
            </w:pPr>
          </w:p>
        </w:tc>
      </w:tr>
      <w:tr w14:paraId="61B15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7B1675DF">
            <w:pPr>
              <w:pStyle w:val="491"/>
              <w:shd w:val="clear" w:color="auto" w:fill="auto"/>
              <w:jc w:val="center"/>
              <w:outlineLvl w:val="1"/>
              <w:rPr>
                <w:rFonts w:hint="eastAsia"/>
                <w:color w:val="auto"/>
                <w:highlight w:val="none"/>
              </w:rPr>
            </w:pPr>
            <w:bookmarkStart w:id="91" w:name="_Toc2367"/>
            <w:r>
              <w:rPr>
                <w:rFonts w:hint="eastAsia"/>
                <w:color w:val="auto"/>
                <w:highlight w:val="none"/>
                <w:lang w:val="en-US" w:eastAsia="zh-CN"/>
              </w:rPr>
              <w:t>......</w:t>
            </w:r>
            <w:bookmarkEnd w:id="91"/>
          </w:p>
        </w:tc>
        <w:tc>
          <w:tcPr>
            <w:tcW w:w="4157" w:type="dxa"/>
            <w:noWrap w:val="0"/>
            <w:vAlign w:val="top"/>
          </w:tcPr>
          <w:p w14:paraId="3101BD4D">
            <w:pPr>
              <w:pStyle w:val="491"/>
              <w:shd w:val="clear" w:color="auto" w:fill="auto"/>
              <w:jc w:val="center"/>
              <w:rPr>
                <w:rFonts w:hint="eastAsia"/>
                <w:color w:val="auto"/>
                <w:highlight w:val="none"/>
              </w:rPr>
            </w:pPr>
          </w:p>
        </w:tc>
      </w:tr>
      <w:tr w14:paraId="171BB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052563DE">
            <w:pPr>
              <w:pStyle w:val="491"/>
              <w:shd w:val="clear" w:color="auto" w:fill="auto"/>
              <w:jc w:val="center"/>
              <w:outlineLvl w:val="1"/>
              <w:rPr>
                <w:rFonts w:hint="eastAsia"/>
                <w:color w:val="auto"/>
                <w:highlight w:val="none"/>
              </w:rPr>
            </w:pPr>
            <w:bookmarkStart w:id="92" w:name="_Toc16952"/>
            <w:r>
              <w:rPr>
                <w:rFonts w:hint="eastAsia"/>
                <w:color w:val="auto"/>
                <w:highlight w:val="none"/>
                <w:lang w:eastAsia="zh-CN"/>
              </w:rPr>
              <w:t>评分项目</w:t>
            </w:r>
            <w:bookmarkEnd w:id="92"/>
          </w:p>
        </w:tc>
        <w:tc>
          <w:tcPr>
            <w:tcW w:w="4157" w:type="dxa"/>
            <w:noWrap w:val="0"/>
            <w:vAlign w:val="top"/>
          </w:tcPr>
          <w:p w14:paraId="79AA2D41">
            <w:pPr>
              <w:pStyle w:val="491"/>
              <w:shd w:val="clear" w:color="auto" w:fill="auto"/>
              <w:jc w:val="center"/>
              <w:outlineLvl w:val="1"/>
              <w:rPr>
                <w:rFonts w:hint="eastAsia"/>
                <w:color w:val="auto"/>
                <w:highlight w:val="none"/>
              </w:rPr>
            </w:pPr>
            <w:bookmarkStart w:id="93" w:name="_Toc16352"/>
            <w:r>
              <w:rPr>
                <w:rFonts w:hint="eastAsia"/>
                <w:color w:val="auto"/>
                <w:highlight w:val="none"/>
                <w:lang w:eastAsia="zh-CN"/>
              </w:rPr>
              <w:t>在投标文件中的页码位置</w:t>
            </w:r>
            <w:bookmarkEnd w:id="93"/>
          </w:p>
        </w:tc>
      </w:tr>
      <w:tr w14:paraId="12408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194F857C">
            <w:pPr>
              <w:pStyle w:val="491"/>
              <w:shd w:val="clear" w:color="auto" w:fill="auto"/>
              <w:jc w:val="center"/>
              <w:rPr>
                <w:rFonts w:hint="eastAsia"/>
                <w:color w:val="auto"/>
                <w:highlight w:val="none"/>
              </w:rPr>
            </w:pPr>
          </w:p>
        </w:tc>
        <w:tc>
          <w:tcPr>
            <w:tcW w:w="4157" w:type="dxa"/>
            <w:noWrap w:val="0"/>
            <w:vAlign w:val="top"/>
          </w:tcPr>
          <w:p w14:paraId="13B2D548">
            <w:pPr>
              <w:pStyle w:val="491"/>
              <w:shd w:val="clear" w:color="auto" w:fill="auto"/>
              <w:jc w:val="center"/>
              <w:rPr>
                <w:rFonts w:hint="eastAsia"/>
                <w:color w:val="auto"/>
                <w:highlight w:val="none"/>
              </w:rPr>
            </w:pPr>
          </w:p>
        </w:tc>
      </w:tr>
      <w:tr w14:paraId="482F1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791240E7">
            <w:pPr>
              <w:pStyle w:val="491"/>
              <w:shd w:val="clear" w:color="auto" w:fill="auto"/>
              <w:jc w:val="center"/>
              <w:rPr>
                <w:rFonts w:hint="eastAsia"/>
                <w:color w:val="auto"/>
                <w:highlight w:val="none"/>
              </w:rPr>
            </w:pPr>
          </w:p>
        </w:tc>
        <w:tc>
          <w:tcPr>
            <w:tcW w:w="4157" w:type="dxa"/>
            <w:noWrap w:val="0"/>
            <w:vAlign w:val="top"/>
          </w:tcPr>
          <w:p w14:paraId="679AAB61">
            <w:pPr>
              <w:pStyle w:val="491"/>
              <w:shd w:val="clear" w:color="auto" w:fill="auto"/>
              <w:jc w:val="center"/>
              <w:rPr>
                <w:rFonts w:hint="eastAsia"/>
                <w:color w:val="auto"/>
                <w:highlight w:val="none"/>
              </w:rPr>
            </w:pPr>
          </w:p>
        </w:tc>
      </w:tr>
      <w:tr w14:paraId="4CE07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026FF7AE">
            <w:pPr>
              <w:pStyle w:val="491"/>
              <w:shd w:val="clear" w:color="auto" w:fill="auto"/>
              <w:jc w:val="center"/>
              <w:rPr>
                <w:rFonts w:hint="eastAsia"/>
                <w:color w:val="auto"/>
                <w:highlight w:val="none"/>
              </w:rPr>
            </w:pPr>
          </w:p>
        </w:tc>
        <w:tc>
          <w:tcPr>
            <w:tcW w:w="4157" w:type="dxa"/>
            <w:noWrap w:val="0"/>
            <w:vAlign w:val="top"/>
          </w:tcPr>
          <w:p w14:paraId="6879A5E0">
            <w:pPr>
              <w:pStyle w:val="491"/>
              <w:shd w:val="clear" w:color="auto" w:fill="auto"/>
              <w:jc w:val="center"/>
              <w:rPr>
                <w:rFonts w:hint="eastAsia"/>
                <w:color w:val="auto"/>
                <w:highlight w:val="none"/>
              </w:rPr>
            </w:pPr>
          </w:p>
        </w:tc>
      </w:tr>
      <w:tr w14:paraId="71704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2871A112">
            <w:pPr>
              <w:pStyle w:val="491"/>
              <w:shd w:val="clear" w:color="auto" w:fill="auto"/>
              <w:jc w:val="center"/>
              <w:rPr>
                <w:rFonts w:hint="eastAsia"/>
                <w:color w:val="auto"/>
                <w:highlight w:val="none"/>
              </w:rPr>
            </w:pPr>
          </w:p>
        </w:tc>
        <w:tc>
          <w:tcPr>
            <w:tcW w:w="4157" w:type="dxa"/>
            <w:noWrap w:val="0"/>
            <w:vAlign w:val="top"/>
          </w:tcPr>
          <w:p w14:paraId="0BA16FE8">
            <w:pPr>
              <w:pStyle w:val="491"/>
              <w:shd w:val="clear" w:color="auto" w:fill="auto"/>
              <w:jc w:val="center"/>
              <w:rPr>
                <w:rFonts w:hint="eastAsia"/>
                <w:color w:val="auto"/>
                <w:highlight w:val="none"/>
              </w:rPr>
            </w:pPr>
          </w:p>
        </w:tc>
      </w:tr>
      <w:tr w14:paraId="1E92C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03" w:type="dxa"/>
            <w:noWrap w:val="0"/>
            <w:vAlign w:val="top"/>
          </w:tcPr>
          <w:p w14:paraId="33B5B42C">
            <w:pPr>
              <w:pStyle w:val="491"/>
              <w:shd w:val="clear" w:color="auto" w:fill="auto"/>
              <w:jc w:val="center"/>
              <w:outlineLvl w:val="1"/>
              <w:rPr>
                <w:rFonts w:hint="eastAsia"/>
                <w:color w:val="auto"/>
                <w:highlight w:val="none"/>
              </w:rPr>
            </w:pPr>
            <w:bookmarkStart w:id="94" w:name="_Toc12770"/>
            <w:r>
              <w:rPr>
                <w:rFonts w:hint="eastAsia"/>
                <w:color w:val="auto"/>
                <w:highlight w:val="none"/>
                <w:lang w:val="en-US" w:eastAsia="zh-CN"/>
              </w:rPr>
              <w:t>......</w:t>
            </w:r>
            <w:bookmarkEnd w:id="94"/>
          </w:p>
        </w:tc>
        <w:tc>
          <w:tcPr>
            <w:tcW w:w="4157" w:type="dxa"/>
            <w:noWrap w:val="0"/>
            <w:vAlign w:val="top"/>
          </w:tcPr>
          <w:p w14:paraId="58681B79">
            <w:pPr>
              <w:pStyle w:val="491"/>
              <w:shd w:val="clear" w:color="auto" w:fill="auto"/>
              <w:jc w:val="center"/>
              <w:rPr>
                <w:rFonts w:hint="eastAsia"/>
                <w:color w:val="auto"/>
                <w:highlight w:val="none"/>
              </w:rPr>
            </w:pPr>
          </w:p>
        </w:tc>
      </w:tr>
    </w:tbl>
    <w:p w14:paraId="132C83E9">
      <w:pPr>
        <w:pStyle w:val="491"/>
        <w:shd w:val="clear" w:color="auto" w:fill="auto"/>
        <w:jc w:val="both"/>
        <w:rPr>
          <w:rFonts w:hint="eastAsia"/>
          <w:color w:val="auto"/>
          <w:sz w:val="44"/>
          <w:szCs w:val="44"/>
          <w:highlight w:val="none"/>
        </w:rPr>
        <w:sectPr>
          <w:footerReference r:id="rId3" w:type="default"/>
          <w:type w:val="continuous"/>
          <w:pgSz w:w="11906" w:h="16838"/>
          <w:pgMar w:top="1440" w:right="1083" w:bottom="1440" w:left="1083" w:header="851" w:footer="992" w:gutter="0"/>
          <w:cols w:space="1701" w:num="1"/>
          <w:docGrid w:linePitch="360" w:charSpace="0"/>
        </w:sectPr>
      </w:pPr>
      <w:r>
        <w:rPr>
          <w:rFonts w:hint="eastAsia"/>
          <w:color w:val="auto"/>
          <w:sz w:val="44"/>
          <w:szCs w:val="44"/>
          <w:highlight w:val="none"/>
          <w:lang w:val="en-US" w:eastAsia="zh-CN"/>
        </w:rPr>
        <w:br w:type="page" w:clear="all"/>
      </w:r>
    </w:p>
    <w:p w14:paraId="1FCACA36">
      <w:pPr>
        <w:pStyle w:val="491"/>
        <w:shd w:val="clear" w:color="auto" w:fill="auto"/>
        <w:jc w:val="center"/>
        <w:outlineLvl w:val="1"/>
        <w:rPr>
          <w:color w:val="auto"/>
          <w:highlight w:val="none"/>
        </w:rPr>
      </w:pPr>
      <w:bookmarkStart w:id="95" w:name="_Toc11482"/>
      <w:r>
        <w:rPr>
          <w:color w:val="auto"/>
          <w:highlight w:val="none"/>
        </w:rPr>
        <w:t>目录</w:t>
      </w:r>
      <w:bookmarkEnd w:id="85"/>
      <w:bookmarkEnd w:id="95"/>
    </w:p>
    <w:p w14:paraId="5F187566">
      <w:pPr>
        <w:pStyle w:val="360"/>
        <w:shd w:val="clear" w:color="auto" w:fill="auto"/>
        <w:spacing w:after="100" w:afterAutospacing="1"/>
        <w:rPr>
          <w:color w:val="auto"/>
          <w:highlight w:val="none"/>
        </w:rPr>
      </w:pPr>
      <w:r>
        <w:rPr>
          <w:rFonts w:ascii="宋体" w:hAnsi="宋体" w:eastAsia="宋体" w:cs="宋体"/>
          <w:color w:val="auto"/>
          <w:highlight w:val="none"/>
        </w:rPr>
        <w:t>一、投标人基本情况</w:t>
      </w:r>
    </w:p>
    <w:p w14:paraId="7AF6C4C2">
      <w:pPr>
        <w:pStyle w:val="360"/>
        <w:shd w:val="clear" w:color="auto" w:fill="auto"/>
        <w:spacing w:after="100" w:afterAutospacing="1"/>
        <w:rPr>
          <w:color w:val="auto"/>
          <w:highlight w:val="none"/>
        </w:rPr>
      </w:pPr>
      <w:r>
        <w:rPr>
          <w:rFonts w:ascii="宋体" w:hAnsi="宋体" w:eastAsia="宋体" w:cs="宋体"/>
          <w:color w:val="auto"/>
          <w:highlight w:val="none"/>
        </w:rPr>
        <w:t>二、投标人资质</w:t>
      </w:r>
    </w:p>
    <w:p w14:paraId="4F921F32">
      <w:pPr>
        <w:pStyle w:val="360"/>
        <w:shd w:val="clear" w:color="auto" w:fill="auto"/>
        <w:spacing w:after="100" w:afterAutospacing="1"/>
        <w:rPr>
          <w:color w:val="auto"/>
          <w:highlight w:val="none"/>
        </w:rPr>
      </w:pPr>
      <w:r>
        <w:rPr>
          <w:rFonts w:ascii="宋体" w:hAnsi="宋体" w:eastAsia="宋体" w:cs="宋体"/>
          <w:color w:val="auto"/>
          <w:highlight w:val="none"/>
        </w:rPr>
        <w:t>三、</w:t>
      </w:r>
      <w:r>
        <w:rPr>
          <w:rFonts w:hint="eastAsia" w:ascii="宋体" w:hAnsi="宋体" w:eastAsia="宋体" w:cs="宋体"/>
          <w:color w:val="auto"/>
          <w:highlight w:val="none"/>
        </w:rPr>
        <w:t>投标人具有良好的商业信誉和健全的财务会计制度</w:t>
      </w:r>
    </w:p>
    <w:p w14:paraId="739431C1">
      <w:pPr>
        <w:pStyle w:val="360"/>
        <w:shd w:val="clear" w:color="auto" w:fill="auto"/>
        <w:spacing w:after="100" w:afterAutospacing="1"/>
        <w:rPr>
          <w:color w:val="auto"/>
          <w:highlight w:val="none"/>
        </w:rPr>
      </w:pPr>
      <w:r>
        <w:rPr>
          <w:rFonts w:ascii="宋体" w:hAnsi="宋体" w:eastAsia="宋体" w:cs="宋体"/>
          <w:color w:val="auto"/>
          <w:highlight w:val="none"/>
        </w:rPr>
        <w:t>四、</w:t>
      </w:r>
      <w:r>
        <w:rPr>
          <w:rFonts w:hint="eastAsia" w:ascii="宋体" w:hAnsi="宋体" w:cs="Arial"/>
          <w:bCs/>
          <w:color w:val="auto"/>
          <w:highlight w:val="none"/>
        </w:rPr>
        <w:t>具有履行合同所必需的设备和专业技术能力</w:t>
      </w:r>
    </w:p>
    <w:p w14:paraId="5CCD409C">
      <w:pPr>
        <w:pStyle w:val="360"/>
        <w:shd w:val="clear" w:color="auto" w:fill="auto"/>
        <w:spacing w:after="100" w:afterAutospacing="1"/>
        <w:rPr>
          <w:rFonts w:hint="eastAsia" w:ascii="宋体" w:hAnsi="宋体" w:cs="Arial"/>
          <w:bCs/>
          <w:color w:val="auto"/>
          <w:highlight w:val="none"/>
        </w:rPr>
      </w:pPr>
      <w:r>
        <w:rPr>
          <w:rFonts w:ascii="宋体" w:hAnsi="宋体" w:eastAsia="宋体" w:cs="宋体"/>
          <w:color w:val="auto"/>
          <w:highlight w:val="none"/>
        </w:rPr>
        <w:t>五、</w:t>
      </w:r>
      <w:r>
        <w:rPr>
          <w:rFonts w:hint="eastAsia" w:ascii="宋体" w:hAnsi="宋体" w:cs="Arial"/>
          <w:bCs/>
          <w:color w:val="auto"/>
          <w:highlight w:val="none"/>
        </w:rPr>
        <w:t>有依法缴纳税收和社会保障资金的良好记录</w:t>
      </w:r>
    </w:p>
    <w:p w14:paraId="35651B00">
      <w:pPr>
        <w:pStyle w:val="360"/>
        <w:shd w:val="clear" w:color="auto" w:fill="auto"/>
        <w:spacing w:after="100" w:afterAutospacing="1"/>
        <w:rPr>
          <w:color w:val="auto"/>
          <w:highlight w:val="none"/>
        </w:rPr>
      </w:pPr>
      <w:r>
        <w:rPr>
          <w:rFonts w:ascii="宋体" w:hAnsi="宋体" w:eastAsia="宋体" w:cs="宋体"/>
          <w:color w:val="auto"/>
          <w:highlight w:val="none"/>
        </w:rPr>
        <w:t>六、无重大违法行为声明</w:t>
      </w:r>
    </w:p>
    <w:p w14:paraId="110581AD">
      <w:pPr>
        <w:pStyle w:val="360"/>
        <w:shd w:val="clear" w:color="auto" w:fill="auto"/>
        <w:spacing w:after="100" w:afterAutospacing="1"/>
        <w:rPr>
          <w:color w:val="auto"/>
          <w:highlight w:val="none"/>
        </w:rPr>
      </w:pPr>
      <w:r>
        <w:rPr>
          <w:rFonts w:ascii="宋体" w:hAnsi="宋体" w:eastAsia="宋体" w:cs="宋体"/>
          <w:color w:val="auto"/>
          <w:highlight w:val="none"/>
        </w:rPr>
        <w:t>七、投标函</w:t>
      </w:r>
    </w:p>
    <w:p w14:paraId="6CB9BAB4">
      <w:pPr>
        <w:pStyle w:val="360"/>
        <w:shd w:val="clear" w:color="auto" w:fill="auto"/>
        <w:spacing w:after="100" w:afterAutospacing="1"/>
        <w:rPr>
          <w:color w:val="auto"/>
          <w:highlight w:val="none"/>
        </w:rPr>
      </w:pPr>
      <w:r>
        <w:rPr>
          <w:rFonts w:ascii="宋体" w:hAnsi="宋体" w:eastAsia="宋体" w:cs="宋体"/>
          <w:color w:val="auto"/>
          <w:highlight w:val="none"/>
        </w:rPr>
        <w:t>八、法定代表人身份证明或授权委托书</w:t>
      </w:r>
    </w:p>
    <w:p w14:paraId="33268B72">
      <w:pPr>
        <w:pStyle w:val="360"/>
        <w:shd w:val="clear" w:color="auto" w:fill="auto"/>
        <w:spacing w:after="100" w:afterAutospacing="1"/>
        <w:rPr>
          <w:color w:val="auto"/>
          <w:highlight w:val="none"/>
        </w:rPr>
      </w:pPr>
      <w:r>
        <w:rPr>
          <w:rFonts w:ascii="宋体" w:hAnsi="宋体" w:eastAsia="宋体" w:cs="宋体"/>
          <w:color w:val="auto"/>
          <w:highlight w:val="none"/>
        </w:rPr>
        <w:t>九、开标一览表</w:t>
      </w:r>
    </w:p>
    <w:p w14:paraId="7565ACDD">
      <w:pPr>
        <w:pStyle w:val="360"/>
        <w:shd w:val="clear" w:color="auto" w:fill="auto"/>
        <w:spacing w:after="100" w:afterAutospacing="1"/>
        <w:rPr>
          <w:color w:val="auto"/>
          <w:highlight w:val="none"/>
        </w:rPr>
      </w:pPr>
      <w:r>
        <w:rPr>
          <w:rFonts w:ascii="宋体" w:hAnsi="宋体" w:eastAsia="宋体" w:cs="宋体"/>
          <w:color w:val="auto"/>
          <w:highlight w:val="none"/>
        </w:rPr>
        <w:t>十、明细报价表</w:t>
      </w:r>
    </w:p>
    <w:p w14:paraId="2C94BA51">
      <w:pPr>
        <w:pStyle w:val="360"/>
        <w:shd w:val="clear" w:color="auto" w:fill="auto"/>
        <w:spacing w:after="100" w:afterAutospacing="1"/>
        <w:rPr>
          <w:color w:val="auto"/>
          <w:highlight w:val="none"/>
        </w:rPr>
      </w:pPr>
      <w:r>
        <w:rPr>
          <w:rFonts w:ascii="宋体" w:hAnsi="宋体" w:eastAsia="宋体" w:cs="宋体"/>
          <w:color w:val="auto"/>
          <w:highlight w:val="none"/>
        </w:rPr>
        <w:t>十一、中小企业声明函</w:t>
      </w:r>
    </w:p>
    <w:p w14:paraId="693D84ED">
      <w:pPr>
        <w:pStyle w:val="360"/>
        <w:shd w:val="clear" w:color="auto" w:fill="auto"/>
        <w:spacing w:after="100" w:afterAutospacing="1"/>
        <w:rPr>
          <w:color w:val="auto"/>
          <w:highlight w:val="none"/>
        </w:rPr>
      </w:pPr>
      <w:r>
        <w:rPr>
          <w:rFonts w:ascii="宋体" w:hAnsi="宋体" w:eastAsia="宋体" w:cs="宋体"/>
          <w:color w:val="auto"/>
          <w:highlight w:val="none"/>
        </w:rPr>
        <w:t>十二、响应偏差表</w:t>
      </w:r>
    </w:p>
    <w:p w14:paraId="7FFF64AA">
      <w:pPr>
        <w:pStyle w:val="360"/>
        <w:shd w:val="clear" w:color="auto" w:fill="auto"/>
        <w:spacing w:after="100" w:afterAutospacing="1"/>
        <w:rPr>
          <w:color w:val="auto"/>
          <w:highlight w:val="none"/>
        </w:rPr>
      </w:pPr>
      <w:r>
        <w:rPr>
          <w:rFonts w:ascii="宋体" w:hAnsi="宋体" w:eastAsia="宋体" w:cs="宋体"/>
          <w:color w:val="auto"/>
          <w:highlight w:val="none"/>
        </w:rPr>
        <w:t>十三、所投产品技术资料或样本等</w:t>
      </w:r>
    </w:p>
    <w:p w14:paraId="5D4B6AF5">
      <w:pPr>
        <w:pStyle w:val="360"/>
        <w:shd w:val="clear" w:color="auto" w:fill="auto"/>
        <w:spacing w:after="100" w:afterAutospacing="1"/>
        <w:rPr>
          <w:color w:val="auto"/>
          <w:highlight w:val="none"/>
        </w:rPr>
      </w:pPr>
      <w:r>
        <w:rPr>
          <w:rFonts w:ascii="宋体" w:hAnsi="宋体" w:eastAsia="宋体" w:cs="宋体"/>
          <w:color w:val="auto"/>
          <w:highlight w:val="none"/>
        </w:rPr>
        <w:t>十四、主要部件、辅材明细表</w:t>
      </w:r>
    </w:p>
    <w:p w14:paraId="29E4B4EF">
      <w:pPr>
        <w:pStyle w:val="360"/>
        <w:shd w:val="clear" w:color="auto" w:fill="auto"/>
        <w:spacing w:after="100" w:afterAutospacing="1"/>
        <w:rPr>
          <w:color w:val="auto"/>
          <w:highlight w:val="none"/>
        </w:rPr>
      </w:pPr>
      <w:r>
        <w:rPr>
          <w:rFonts w:ascii="宋体" w:hAnsi="宋体" w:eastAsia="宋体" w:cs="宋体"/>
          <w:color w:val="auto"/>
          <w:highlight w:val="none"/>
        </w:rPr>
        <w:t>十五、</w:t>
      </w:r>
      <w:bookmarkStart w:id="96" w:name="_Toc21060_WPSOffice_Level2"/>
      <w:r>
        <w:rPr>
          <w:rFonts w:hint="eastAsia" w:ascii="宋体" w:hAnsi="宋体" w:eastAsia="宋体" w:cs="宋体"/>
          <w:color w:val="auto"/>
          <w:highlight w:val="none"/>
          <w:lang w:val="en-US" w:eastAsia="zh-CN"/>
        </w:rPr>
        <w:t>服务</w:t>
      </w:r>
      <w:r>
        <w:rPr>
          <w:rFonts w:ascii="宋体" w:hAnsi="宋体" w:eastAsia="宋体" w:cs="宋体"/>
          <w:color w:val="auto"/>
          <w:highlight w:val="none"/>
        </w:rPr>
        <w:t>方案</w:t>
      </w:r>
      <w:bookmarkEnd w:id="96"/>
    </w:p>
    <w:p w14:paraId="4DCE7D0B">
      <w:pPr>
        <w:pStyle w:val="360"/>
        <w:shd w:val="clear" w:color="auto" w:fill="auto"/>
        <w:spacing w:after="100" w:afterAutospacing="1"/>
        <w:rPr>
          <w:color w:val="auto"/>
          <w:highlight w:val="none"/>
        </w:rPr>
      </w:pPr>
      <w:r>
        <w:rPr>
          <w:rFonts w:ascii="宋体" w:hAnsi="宋体" w:eastAsia="宋体" w:cs="宋体"/>
          <w:color w:val="auto"/>
          <w:highlight w:val="none"/>
        </w:rPr>
        <w:t>十</w:t>
      </w:r>
      <w:r>
        <w:rPr>
          <w:rFonts w:hint="eastAsia" w:ascii="宋体" w:hAnsi="宋体" w:eastAsia="宋体" w:cs="宋体"/>
          <w:color w:val="auto"/>
          <w:highlight w:val="none"/>
          <w:lang w:val="en-US" w:eastAsia="zh-CN"/>
        </w:rPr>
        <w:t>六</w:t>
      </w:r>
      <w:r>
        <w:rPr>
          <w:rFonts w:ascii="宋体" w:hAnsi="宋体" w:eastAsia="宋体" w:cs="宋体"/>
          <w:color w:val="auto"/>
          <w:highlight w:val="none"/>
        </w:rPr>
        <w:t>、项目业绩一览表</w:t>
      </w:r>
    </w:p>
    <w:p w14:paraId="79BA99C9">
      <w:pPr>
        <w:pStyle w:val="360"/>
        <w:shd w:val="clear" w:color="auto" w:fill="auto"/>
        <w:spacing w:after="100" w:afterAutospacing="1"/>
        <w:rPr>
          <w:color w:val="auto"/>
          <w:highlight w:val="none"/>
        </w:rPr>
      </w:pPr>
      <w:r>
        <w:rPr>
          <w:rFonts w:ascii="宋体" w:hAnsi="宋体" w:eastAsia="宋体" w:cs="宋体"/>
          <w:color w:val="auto"/>
          <w:highlight w:val="none"/>
        </w:rPr>
        <w:t>十</w:t>
      </w:r>
      <w:r>
        <w:rPr>
          <w:rFonts w:hint="eastAsia" w:ascii="宋体" w:hAnsi="宋体" w:eastAsia="宋体" w:cs="宋体"/>
          <w:color w:val="auto"/>
          <w:highlight w:val="none"/>
          <w:lang w:val="en-US" w:eastAsia="zh-CN"/>
        </w:rPr>
        <w:t>七</w:t>
      </w:r>
      <w:r>
        <w:rPr>
          <w:rFonts w:ascii="宋体" w:hAnsi="宋体" w:eastAsia="宋体" w:cs="宋体"/>
          <w:color w:val="auto"/>
          <w:highlight w:val="none"/>
        </w:rPr>
        <w:t>、投标所需其他材料</w:t>
      </w:r>
    </w:p>
    <w:p w14:paraId="103B51DA">
      <w:pPr>
        <w:shd w:val="clear" w:color="auto" w:fill="auto"/>
        <w:rPr>
          <w:color w:val="auto"/>
          <w:highlight w:val="none"/>
        </w:rPr>
      </w:pPr>
    </w:p>
    <w:p w14:paraId="69AADC4F">
      <w:pPr>
        <w:pStyle w:val="467"/>
        <w:shd w:val="clear" w:color="auto" w:fill="auto"/>
        <w:outlineLvl w:val="1"/>
        <w:rPr>
          <w:color w:val="auto"/>
          <w:highlight w:val="none"/>
        </w:rPr>
      </w:pPr>
      <w:r>
        <w:rPr>
          <w:color w:val="auto"/>
          <w:highlight w:val="none"/>
        </w:rPr>
        <w:br w:type="page" w:clear="all"/>
      </w:r>
      <w:bookmarkStart w:id="97" w:name="_Toc23205_WPSOffice_Level2"/>
      <w:bookmarkStart w:id="98" w:name="_Toc514054486"/>
      <w:bookmarkStart w:id="99" w:name="_Toc21292"/>
      <w:r>
        <w:rPr>
          <w:color w:val="auto"/>
          <w:highlight w:val="none"/>
        </w:rPr>
        <w:t>一、投标人基本情况</w:t>
      </w:r>
      <w:bookmarkEnd w:id="97"/>
      <w:bookmarkEnd w:id="98"/>
      <w:bookmarkEnd w:id="99"/>
    </w:p>
    <w:p w14:paraId="004EC638">
      <w:pPr>
        <w:pStyle w:val="415"/>
        <w:shd w:val="clear" w:color="auto" w:fill="auto"/>
        <w:jc w:val="center"/>
        <w:rPr>
          <w:rFonts w:hint="eastAsia"/>
          <w:color w:val="auto"/>
          <w:sz w:val="44"/>
          <w:szCs w:val="44"/>
          <w:highlight w:val="none"/>
        </w:rPr>
      </w:pPr>
      <w:r>
        <w:rPr>
          <w:rFonts w:hint="eastAsia"/>
          <w:color w:val="auto"/>
          <w:sz w:val="44"/>
          <w:szCs w:val="44"/>
          <w:highlight w:val="none"/>
        </w:rPr>
        <w:t>投标人基本情况表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160CE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67CC42FB">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投标人名称</w:t>
            </w:r>
          </w:p>
        </w:tc>
        <w:tc>
          <w:tcPr>
            <w:tcW w:w="6998" w:type="dxa"/>
            <w:gridSpan w:val="3"/>
            <w:noWrap w:val="0"/>
            <w:vAlign w:val="center"/>
          </w:tcPr>
          <w:p w14:paraId="1295FF3B">
            <w:pPr>
              <w:pStyle w:val="415"/>
              <w:shd w:val="clear" w:color="auto" w:fill="auto"/>
              <w:spacing w:line="600" w:lineRule="exact"/>
              <w:jc w:val="center"/>
              <w:rPr>
                <w:rFonts w:hint="eastAsia" w:ascii="仿宋_GB2312" w:eastAsia="仿宋_GB2312"/>
                <w:color w:val="auto"/>
                <w:sz w:val="24"/>
                <w:szCs w:val="24"/>
                <w:highlight w:val="none"/>
              </w:rPr>
            </w:pPr>
          </w:p>
        </w:tc>
      </w:tr>
      <w:tr w14:paraId="6AC2F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645E614E">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法定代表人</w:t>
            </w:r>
          </w:p>
        </w:tc>
        <w:tc>
          <w:tcPr>
            <w:tcW w:w="3118" w:type="dxa"/>
            <w:noWrap w:val="0"/>
            <w:vAlign w:val="center"/>
          </w:tcPr>
          <w:p w14:paraId="24AB5A40">
            <w:pPr>
              <w:pStyle w:val="415"/>
              <w:shd w:val="clear" w:color="auto" w:fill="auto"/>
              <w:spacing w:line="600" w:lineRule="exact"/>
              <w:jc w:val="center"/>
              <w:rPr>
                <w:rFonts w:hint="eastAsia" w:ascii="仿宋_GB2312" w:eastAsia="仿宋_GB2312"/>
                <w:color w:val="auto"/>
                <w:sz w:val="24"/>
                <w:szCs w:val="24"/>
                <w:highlight w:val="none"/>
              </w:rPr>
            </w:pPr>
          </w:p>
        </w:tc>
        <w:tc>
          <w:tcPr>
            <w:tcW w:w="1276" w:type="dxa"/>
            <w:noWrap w:val="0"/>
            <w:vAlign w:val="center"/>
          </w:tcPr>
          <w:p w14:paraId="4773BCEC">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注册地区</w:t>
            </w:r>
          </w:p>
        </w:tc>
        <w:tc>
          <w:tcPr>
            <w:tcW w:w="2604" w:type="dxa"/>
            <w:noWrap w:val="0"/>
            <w:vAlign w:val="center"/>
          </w:tcPr>
          <w:p w14:paraId="4D7D39C0">
            <w:pPr>
              <w:pStyle w:val="415"/>
              <w:shd w:val="clear" w:color="auto" w:fill="auto"/>
              <w:spacing w:line="600" w:lineRule="exact"/>
              <w:jc w:val="center"/>
              <w:rPr>
                <w:rFonts w:hint="eastAsia" w:ascii="仿宋_GB2312" w:eastAsia="仿宋_GB2312"/>
                <w:color w:val="auto"/>
                <w:sz w:val="24"/>
                <w:szCs w:val="24"/>
                <w:highlight w:val="none"/>
              </w:rPr>
            </w:pPr>
          </w:p>
        </w:tc>
      </w:tr>
      <w:tr w14:paraId="44966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33BC13F1">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地址</w:t>
            </w:r>
          </w:p>
        </w:tc>
        <w:tc>
          <w:tcPr>
            <w:tcW w:w="3118" w:type="dxa"/>
            <w:noWrap w:val="0"/>
            <w:vAlign w:val="center"/>
          </w:tcPr>
          <w:p w14:paraId="3F22F332">
            <w:pPr>
              <w:pStyle w:val="415"/>
              <w:shd w:val="clear" w:color="auto" w:fill="auto"/>
              <w:spacing w:line="600" w:lineRule="exact"/>
              <w:jc w:val="center"/>
              <w:rPr>
                <w:rFonts w:hint="eastAsia" w:ascii="仿宋_GB2312" w:eastAsia="仿宋_GB2312"/>
                <w:color w:val="auto"/>
                <w:sz w:val="24"/>
                <w:szCs w:val="24"/>
                <w:highlight w:val="none"/>
              </w:rPr>
            </w:pPr>
          </w:p>
        </w:tc>
        <w:tc>
          <w:tcPr>
            <w:tcW w:w="1276" w:type="dxa"/>
            <w:noWrap w:val="0"/>
            <w:vAlign w:val="center"/>
          </w:tcPr>
          <w:p w14:paraId="465869BD">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邮政编码</w:t>
            </w:r>
          </w:p>
        </w:tc>
        <w:tc>
          <w:tcPr>
            <w:tcW w:w="2604" w:type="dxa"/>
            <w:noWrap w:val="0"/>
            <w:vAlign w:val="center"/>
          </w:tcPr>
          <w:p w14:paraId="6C1B7C39">
            <w:pPr>
              <w:pStyle w:val="415"/>
              <w:shd w:val="clear" w:color="auto" w:fill="auto"/>
              <w:spacing w:line="600" w:lineRule="exact"/>
              <w:jc w:val="center"/>
              <w:rPr>
                <w:rFonts w:hint="eastAsia" w:ascii="仿宋_GB2312" w:eastAsia="仿宋_GB2312"/>
                <w:color w:val="auto"/>
                <w:sz w:val="24"/>
                <w:szCs w:val="24"/>
                <w:highlight w:val="none"/>
              </w:rPr>
            </w:pPr>
          </w:p>
        </w:tc>
      </w:tr>
      <w:tr w14:paraId="49A62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3F9F94A6">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成立时间</w:t>
            </w:r>
          </w:p>
        </w:tc>
        <w:tc>
          <w:tcPr>
            <w:tcW w:w="3118" w:type="dxa"/>
            <w:noWrap w:val="0"/>
            <w:vAlign w:val="center"/>
          </w:tcPr>
          <w:p w14:paraId="39FE5A5A">
            <w:pPr>
              <w:pStyle w:val="415"/>
              <w:shd w:val="clear" w:color="auto" w:fill="auto"/>
              <w:spacing w:line="600" w:lineRule="exact"/>
              <w:jc w:val="center"/>
              <w:rPr>
                <w:rFonts w:hint="eastAsia" w:ascii="仿宋_GB2312" w:eastAsia="仿宋_GB2312"/>
                <w:color w:val="auto"/>
                <w:sz w:val="24"/>
                <w:szCs w:val="24"/>
                <w:highlight w:val="none"/>
              </w:rPr>
            </w:pPr>
          </w:p>
        </w:tc>
        <w:tc>
          <w:tcPr>
            <w:tcW w:w="1276" w:type="dxa"/>
            <w:noWrap w:val="0"/>
            <w:vAlign w:val="center"/>
          </w:tcPr>
          <w:p w14:paraId="01C363D0">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单位性质</w:t>
            </w:r>
          </w:p>
        </w:tc>
        <w:tc>
          <w:tcPr>
            <w:tcW w:w="2604" w:type="dxa"/>
            <w:noWrap w:val="0"/>
            <w:vAlign w:val="center"/>
          </w:tcPr>
          <w:p w14:paraId="62B4540E">
            <w:pPr>
              <w:pStyle w:val="415"/>
              <w:shd w:val="clear" w:color="auto" w:fill="auto"/>
              <w:spacing w:line="600" w:lineRule="exact"/>
              <w:jc w:val="center"/>
              <w:rPr>
                <w:rFonts w:hint="eastAsia" w:ascii="仿宋_GB2312" w:eastAsia="仿宋_GB2312"/>
                <w:color w:val="auto"/>
                <w:sz w:val="24"/>
                <w:szCs w:val="24"/>
                <w:highlight w:val="none"/>
              </w:rPr>
            </w:pPr>
          </w:p>
        </w:tc>
      </w:tr>
      <w:tr w14:paraId="4C6CD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1CAC6E45">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注册号或社会信用代码</w:t>
            </w:r>
          </w:p>
        </w:tc>
        <w:tc>
          <w:tcPr>
            <w:tcW w:w="3118" w:type="dxa"/>
            <w:noWrap w:val="0"/>
            <w:vAlign w:val="center"/>
          </w:tcPr>
          <w:p w14:paraId="39832ACB">
            <w:pPr>
              <w:pStyle w:val="415"/>
              <w:shd w:val="clear" w:color="auto" w:fill="auto"/>
              <w:spacing w:line="600" w:lineRule="exact"/>
              <w:jc w:val="center"/>
              <w:rPr>
                <w:rFonts w:hint="eastAsia" w:ascii="仿宋_GB2312" w:eastAsia="仿宋_GB2312"/>
                <w:color w:val="auto"/>
                <w:sz w:val="24"/>
                <w:szCs w:val="24"/>
                <w:highlight w:val="none"/>
              </w:rPr>
            </w:pPr>
          </w:p>
        </w:tc>
        <w:tc>
          <w:tcPr>
            <w:tcW w:w="1276" w:type="dxa"/>
            <w:noWrap w:val="0"/>
            <w:vAlign w:val="center"/>
          </w:tcPr>
          <w:p w14:paraId="03D96126">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注册资本（万元）</w:t>
            </w:r>
          </w:p>
        </w:tc>
        <w:tc>
          <w:tcPr>
            <w:tcW w:w="2604" w:type="dxa"/>
            <w:noWrap w:val="0"/>
            <w:vAlign w:val="center"/>
          </w:tcPr>
          <w:p w14:paraId="1D14CB5C">
            <w:pPr>
              <w:pStyle w:val="415"/>
              <w:shd w:val="clear" w:color="auto" w:fill="auto"/>
              <w:spacing w:line="600" w:lineRule="exact"/>
              <w:jc w:val="center"/>
              <w:rPr>
                <w:rFonts w:hint="eastAsia" w:ascii="仿宋_GB2312" w:eastAsia="仿宋_GB2312"/>
                <w:color w:val="auto"/>
                <w:sz w:val="24"/>
                <w:szCs w:val="24"/>
                <w:highlight w:val="none"/>
              </w:rPr>
            </w:pPr>
          </w:p>
        </w:tc>
      </w:tr>
      <w:tr w14:paraId="31E17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4E43B488">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开户银行</w:t>
            </w:r>
          </w:p>
        </w:tc>
        <w:tc>
          <w:tcPr>
            <w:tcW w:w="3118" w:type="dxa"/>
            <w:noWrap w:val="0"/>
            <w:vAlign w:val="center"/>
          </w:tcPr>
          <w:p w14:paraId="4654BEED">
            <w:pPr>
              <w:pStyle w:val="415"/>
              <w:shd w:val="clear" w:color="auto" w:fill="auto"/>
              <w:spacing w:line="600" w:lineRule="exact"/>
              <w:jc w:val="center"/>
              <w:rPr>
                <w:rFonts w:hint="eastAsia" w:ascii="仿宋_GB2312" w:eastAsia="仿宋_GB2312"/>
                <w:color w:val="auto"/>
                <w:sz w:val="24"/>
                <w:szCs w:val="24"/>
                <w:highlight w:val="none"/>
              </w:rPr>
            </w:pPr>
          </w:p>
        </w:tc>
        <w:tc>
          <w:tcPr>
            <w:tcW w:w="1276" w:type="dxa"/>
            <w:noWrap w:val="0"/>
            <w:vAlign w:val="center"/>
          </w:tcPr>
          <w:p w14:paraId="7016A26C">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账号</w:t>
            </w:r>
          </w:p>
        </w:tc>
        <w:tc>
          <w:tcPr>
            <w:tcW w:w="2604" w:type="dxa"/>
            <w:noWrap w:val="0"/>
            <w:vAlign w:val="center"/>
          </w:tcPr>
          <w:p w14:paraId="24A78A07">
            <w:pPr>
              <w:pStyle w:val="415"/>
              <w:shd w:val="clear" w:color="auto" w:fill="auto"/>
              <w:spacing w:line="600" w:lineRule="exact"/>
              <w:jc w:val="center"/>
              <w:rPr>
                <w:rFonts w:hint="eastAsia" w:ascii="仿宋_GB2312" w:eastAsia="仿宋_GB2312"/>
                <w:color w:val="auto"/>
                <w:sz w:val="24"/>
                <w:szCs w:val="24"/>
                <w:highlight w:val="none"/>
              </w:rPr>
            </w:pPr>
          </w:p>
        </w:tc>
      </w:tr>
      <w:tr w14:paraId="4278A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7716E191">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联系人</w:t>
            </w:r>
          </w:p>
        </w:tc>
        <w:tc>
          <w:tcPr>
            <w:tcW w:w="3118" w:type="dxa"/>
            <w:noWrap w:val="0"/>
            <w:vAlign w:val="center"/>
          </w:tcPr>
          <w:p w14:paraId="66A8FCFF">
            <w:pPr>
              <w:pStyle w:val="415"/>
              <w:shd w:val="clear" w:color="auto" w:fill="auto"/>
              <w:spacing w:line="600" w:lineRule="exact"/>
              <w:jc w:val="center"/>
              <w:rPr>
                <w:rFonts w:hint="eastAsia" w:ascii="仿宋_GB2312" w:eastAsia="仿宋_GB2312"/>
                <w:color w:val="auto"/>
                <w:sz w:val="24"/>
                <w:szCs w:val="24"/>
                <w:highlight w:val="none"/>
              </w:rPr>
            </w:pPr>
          </w:p>
        </w:tc>
        <w:tc>
          <w:tcPr>
            <w:tcW w:w="1276" w:type="dxa"/>
            <w:noWrap w:val="0"/>
            <w:vAlign w:val="center"/>
          </w:tcPr>
          <w:p w14:paraId="1748085D">
            <w:pPr>
              <w:pStyle w:val="415"/>
              <w:shd w:val="clear" w:color="auto" w:fill="auto"/>
              <w:spacing w:line="60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联系电话</w:t>
            </w:r>
          </w:p>
        </w:tc>
        <w:tc>
          <w:tcPr>
            <w:tcW w:w="2604" w:type="dxa"/>
            <w:noWrap w:val="0"/>
            <w:vAlign w:val="center"/>
          </w:tcPr>
          <w:p w14:paraId="41DD7D3F">
            <w:pPr>
              <w:pStyle w:val="415"/>
              <w:shd w:val="clear" w:color="auto" w:fill="auto"/>
              <w:spacing w:line="600" w:lineRule="exact"/>
              <w:jc w:val="center"/>
              <w:rPr>
                <w:rFonts w:hint="eastAsia" w:ascii="仿宋_GB2312" w:eastAsia="仿宋_GB2312"/>
                <w:color w:val="auto"/>
                <w:sz w:val="24"/>
                <w:szCs w:val="24"/>
                <w:highlight w:val="none"/>
              </w:rPr>
            </w:pPr>
          </w:p>
        </w:tc>
      </w:tr>
      <w:tr w14:paraId="1E6B4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noWrap w:val="0"/>
            <w:vAlign w:val="center"/>
          </w:tcPr>
          <w:p w14:paraId="07B02CB4">
            <w:pPr>
              <w:pStyle w:val="415"/>
              <w:shd w:val="clear" w:color="auto" w:fill="auto"/>
              <w:spacing w:line="56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经营范围</w:t>
            </w:r>
          </w:p>
        </w:tc>
        <w:tc>
          <w:tcPr>
            <w:tcW w:w="6998" w:type="dxa"/>
            <w:gridSpan w:val="3"/>
            <w:noWrap w:val="0"/>
            <w:vAlign w:val="top"/>
          </w:tcPr>
          <w:p w14:paraId="4DE3672E">
            <w:pPr>
              <w:pStyle w:val="415"/>
              <w:shd w:val="clear" w:color="auto" w:fill="auto"/>
              <w:spacing w:line="560" w:lineRule="exact"/>
              <w:ind w:firstLine="1432"/>
              <w:rPr>
                <w:rFonts w:hint="eastAsia" w:ascii="仿宋_GB2312" w:eastAsia="仿宋_GB2312"/>
                <w:color w:val="auto"/>
                <w:sz w:val="24"/>
                <w:szCs w:val="24"/>
                <w:highlight w:val="none"/>
              </w:rPr>
            </w:pPr>
          </w:p>
        </w:tc>
      </w:tr>
      <w:tr w14:paraId="4A839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435069AF">
            <w:pPr>
              <w:pStyle w:val="415"/>
              <w:shd w:val="clear" w:color="auto" w:fill="auto"/>
              <w:spacing w:line="560" w:lineRule="exact"/>
              <w:jc w:val="center"/>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备注</w:t>
            </w:r>
          </w:p>
        </w:tc>
        <w:tc>
          <w:tcPr>
            <w:tcW w:w="6998" w:type="dxa"/>
            <w:gridSpan w:val="3"/>
            <w:noWrap w:val="0"/>
            <w:vAlign w:val="center"/>
          </w:tcPr>
          <w:p w14:paraId="77197ABF">
            <w:pPr>
              <w:pStyle w:val="415"/>
              <w:shd w:val="clear" w:color="auto" w:fill="auto"/>
              <w:spacing w:line="500" w:lineRule="exact"/>
              <w:jc w:val="center"/>
              <w:rPr>
                <w:rFonts w:hint="eastAsia" w:ascii="仿宋_GB2312" w:eastAsia="仿宋_GB2312"/>
                <w:color w:val="auto"/>
                <w:sz w:val="24"/>
                <w:szCs w:val="24"/>
                <w:highlight w:val="none"/>
              </w:rPr>
            </w:pPr>
          </w:p>
        </w:tc>
      </w:tr>
    </w:tbl>
    <w:p w14:paraId="3CB5D674">
      <w:pPr>
        <w:pStyle w:val="415"/>
        <w:shd w:val="clear" w:color="auto" w:fill="auto"/>
        <w:spacing w:line="560" w:lineRule="exact"/>
        <w:jc w:val="center"/>
        <w:rPr>
          <w:rFonts w:hint="eastAsia" w:ascii="方正大标宋简体" w:eastAsia="方正大标宋简体"/>
          <w:bCs/>
          <w:color w:val="auto"/>
          <w:sz w:val="32"/>
          <w:szCs w:val="32"/>
          <w:highlight w:val="none"/>
        </w:rPr>
      </w:pPr>
    </w:p>
    <w:p w14:paraId="6ABA1414">
      <w:pPr>
        <w:pStyle w:val="455"/>
        <w:shd w:val="clear" w:color="auto" w:fill="auto"/>
        <w:outlineLvl w:val="1"/>
        <w:rPr>
          <w:rFonts w:hint="eastAsia"/>
          <w:color w:val="auto"/>
          <w:highlight w:val="none"/>
        </w:rPr>
      </w:pPr>
      <w:r>
        <w:rPr>
          <w:color w:val="auto"/>
          <w:highlight w:val="none"/>
        </w:rPr>
        <w:br w:type="page" w:clear="all"/>
      </w:r>
      <w:bookmarkStart w:id="100" w:name="_Toc30260_WPSOffice_Level2"/>
      <w:bookmarkStart w:id="101" w:name="_Toc514054487"/>
      <w:bookmarkStart w:id="102" w:name="_Toc15353"/>
      <w:r>
        <w:rPr>
          <w:color w:val="auto"/>
          <w:highlight w:val="none"/>
        </w:rPr>
        <w:t>二、</w:t>
      </w:r>
      <w:r>
        <w:rPr>
          <w:rFonts w:hint="eastAsia"/>
          <w:color w:val="auto"/>
          <w:highlight w:val="none"/>
          <w:lang w:val="en-US" w:eastAsia="zh-CN"/>
        </w:rPr>
        <w:t>投标</w:t>
      </w:r>
      <w:r>
        <w:rPr>
          <w:color w:val="auto"/>
          <w:highlight w:val="none"/>
        </w:rPr>
        <w:t>人资质</w:t>
      </w:r>
      <w:bookmarkEnd w:id="100"/>
      <w:bookmarkEnd w:id="101"/>
      <w:r>
        <w:rPr>
          <w:rFonts w:hint="eastAsia"/>
          <w:color w:val="auto"/>
          <w:highlight w:val="none"/>
          <w:lang w:eastAsia="zh-CN"/>
        </w:rPr>
        <w:t>（</w:t>
      </w:r>
      <w:r>
        <w:rPr>
          <w:rFonts w:hint="eastAsia"/>
          <w:color w:val="auto"/>
          <w:highlight w:val="none"/>
          <w:lang w:val="en-US" w:eastAsia="zh-CN"/>
        </w:rPr>
        <w:t>按资格要求提供</w:t>
      </w:r>
      <w:r>
        <w:rPr>
          <w:rFonts w:hint="eastAsia"/>
          <w:color w:val="auto"/>
          <w:highlight w:val="none"/>
          <w:lang w:eastAsia="zh-CN"/>
        </w:rPr>
        <w:t>）</w:t>
      </w:r>
      <w:bookmarkEnd w:id="102"/>
    </w:p>
    <w:p w14:paraId="3BBFBAE5">
      <w:pPr>
        <w:pStyle w:val="521"/>
        <w:shd w:val="clear" w:color="auto" w:fill="auto"/>
        <w:rPr>
          <w:rFonts w:hint="eastAsia"/>
          <w:color w:val="auto"/>
          <w:highlight w:val="none"/>
        </w:rPr>
      </w:pPr>
      <w:r>
        <w:rPr>
          <w:rFonts w:hint="eastAsia"/>
          <w:color w:val="auto"/>
          <w:highlight w:val="none"/>
        </w:rPr>
        <w:t xml:space="preserve">    </w:t>
      </w:r>
      <w:bookmarkStart w:id="103" w:name="_Toc21452_WPSOffice_Level2"/>
      <w:bookmarkStart w:id="104" w:name="_Toc514054488"/>
    </w:p>
    <w:p w14:paraId="55498D74">
      <w:pPr>
        <w:pStyle w:val="521"/>
        <w:shd w:val="clear" w:color="auto" w:fill="auto"/>
        <w:rPr>
          <w:rFonts w:hint="eastAsia"/>
          <w:color w:val="auto"/>
          <w:highlight w:val="none"/>
        </w:rPr>
      </w:pPr>
    </w:p>
    <w:p w14:paraId="35DBE50B">
      <w:pPr>
        <w:pStyle w:val="521"/>
        <w:shd w:val="clear" w:color="auto" w:fill="auto"/>
        <w:rPr>
          <w:rFonts w:hint="eastAsia"/>
          <w:color w:val="auto"/>
          <w:highlight w:val="none"/>
        </w:rPr>
      </w:pPr>
    </w:p>
    <w:p w14:paraId="5DF860A9">
      <w:pPr>
        <w:pStyle w:val="521"/>
        <w:shd w:val="clear" w:color="auto" w:fill="auto"/>
        <w:rPr>
          <w:rFonts w:hint="eastAsia"/>
          <w:color w:val="auto"/>
          <w:highlight w:val="none"/>
        </w:rPr>
      </w:pPr>
    </w:p>
    <w:p w14:paraId="5BA63CA3">
      <w:pPr>
        <w:pStyle w:val="521"/>
        <w:shd w:val="clear" w:color="auto" w:fill="auto"/>
        <w:rPr>
          <w:rFonts w:hint="eastAsia"/>
          <w:color w:val="auto"/>
          <w:highlight w:val="none"/>
        </w:rPr>
      </w:pPr>
    </w:p>
    <w:p w14:paraId="63F80232">
      <w:pPr>
        <w:pStyle w:val="521"/>
        <w:shd w:val="clear" w:color="auto" w:fill="auto"/>
        <w:rPr>
          <w:rFonts w:hint="eastAsia"/>
          <w:color w:val="auto"/>
          <w:highlight w:val="none"/>
        </w:rPr>
      </w:pPr>
    </w:p>
    <w:p w14:paraId="7740A916">
      <w:pPr>
        <w:pStyle w:val="521"/>
        <w:shd w:val="clear" w:color="auto" w:fill="auto"/>
        <w:rPr>
          <w:rFonts w:hint="eastAsia"/>
          <w:color w:val="auto"/>
          <w:highlight w:val="none"/>
        </w:rPr>
      </w:pPr>
    </w:p>
    <w:p w14:paraId="36DFA475">
      <w:pPr>
        <w:pStyle w:val="521"/>
        <w:shd w:val="clear" w:color="auto" w:fill="auto"/>
        <w:rPr>
          <w:rFonts w:hint="eastAsia"/>
          <w:color w:val="auto"/>
          <w:highlight w:val="none"/>
        </w:rPr>
      </w:pPr>
    </w:p>
    <w:p w14:paraId="1EE29C5F">
      <w:pPr>
        <w:pStyle w:val="521"/>
        <w:shd w:val="clear" w:color="auto" w:fill="auto"/>
        <w:rPr>
          <w:rFonts w:hint="eastAsia"/>
          <w:color w:val="auto"/>
          <w:highlight w:val="none"/>
        </w:rPr>
      </w:pPr>
    </w:p>
    <w:p w14:paraId="06BCE979">
      <w:pPr>
        <w:pStyle w:val="521"/>
        <w:shd w:val="clear" w:color="auto" w:fill="auto"/>
        <w:rPr>
          <w:rFonts w:hint="eastAsia"/>
          <w:color w:val="auto"/>
          <w:highlight w:val="none"/>
        </w:rPr>
      </w:pPr>
    </w:p>
    <w:p w14:paraId="43F779B0">
      <w:pPr>
        <w:pStyle w:val="521"/>
        <w:shd w:val="clear" w:color="auto" w:fill="auto"/>
        <w:rPr>
          <w:rFonts w:hint="eastAsia"/>
          <w:color w:val="auto"/>
          <w:highlight w:val="none"/>
        </w:rPr>
      </w:pPr>
    </w:p>
    <w:p w14:paraId="6D0F054E">
      <w:pPr>
        <w:pStyle w:val="521"/>
        <w:shd w:val="clear" w:color="auto" w:fill="auto"/>
        <w:rPr>
          <w:rFonts w:hint="eastAsia"/>
          <w:color w:val="auto"/>
          <w:highlight w:val="none"/>
        </w:rPr>
      </w:pPr>
    </w:p>
    <w:p w14:paraId="0B8F0114">
      <w:pPr>
        <w:pStyle w:val="521"/>
        <w:shd w:val="clear" w:color="auto" w:fill="auto"/>
        <w:rPr>
          <w:rFonts w:hint="eastAsia"/>
          <w:color w:val="auto"/>
          <w:highlight w:val="none"/>
        </w:rPr>
      </w:pPr>
    </w:p>
    <w:p w14:paraId="2543B022">
      <w:pPr>
        <w:pStyle w:val="521"/>
        <w:shd w:val="clear" w:color="auto" w:fill="auto"/>
        <w:rPr>
          <w:rFonts w:hint="eastAsia"/>
          <w:color w:val="auto"/>
          <w:highlight w:val="none"/>
        </w:rPr>
      </w:pPr>
    </w:p>
    <w:p w14:paraId="33EFC5E3">
      <w:pPr>
        <w:pStyle w:val="521"/>
        <w:shd w:val="clear" w:color="auto" w:fill="auto"/>
        <w:rPr>
          <w:rFonts w:hint="eastAsia"/>
          <w:color w:val="auto"/>
          <w:highlight w:val="none"/>
        </w:rPr>
      </w:pPr>
    </w:p>
    <w:p w14:paraId="11C74382">
      <w:pPr>
        <w:pStyle w:val="521"/>
        <w:shd w:val="clear" w:color="auto" w:fill="auto"/>
        <w:rPr>
          <w:rFonts w:hint="eastAsia"/>
          <w:color w:val="auto"/>
          <w:highlight w:val="none"/>
        </w:rPr>
      </w:pPr>
    </w:p>
    <w:p w14:paraId="0B47E16A">
      <w:pPr>
        <w:pStyle w:val="521"/>
        <w:shd w:val="clear" w:color="auto" w:fill="auto"/>
        <w:rPr>
          <w:rFonts w:hint="eastAsia"/>
          <w:color w:val="auto"/>
          <w:highlight w:val="none"/>
        </w:rPr>
      </w:pPr>
    </w:p>
    <w:p w14:paraId="2BBA78AB">
      <w:pPr>
        <w:pStyle w:val="521"/>
        <w:shd w:val="clear" w:color="auto" w:fill="auto"/>
        <w:rPr>
          <w:rFonts w:hint="eastAsia"/>
          <w:color w:val="auto"/>
          <w:highlight w:val="none"/>
        </w:rPr>
      </w:pPr>
    </w:p>
    <w:p w14:paraId="172FE46C">
      <w:pPr>
        <w:pStyle w:val="521"/>
        <w:shd w:val="clear" w:color="auto" w:fill="auto"/>
        <w:rPr>
          <w:rFonts w:hint="eastAsia"/>
          <w:color w:val="auto"/>
          <w:highlight w:val="none"/>
        </w:rPr>
      </w:pPr>
    </w:p>
    <w:p w14:paraId="4C865F01">
      <w:pPr>
        <w:pStyle w:val="521"/>
        <w:shd w:val="clear" w:color="auto" w:fill="auto"/>
        <w:rPr>
          <w:rFonts w:hint="eastAsia"/>
          <w:color w:val="auto"/>
          <w:highlight w:val="none"/>
        </w:rPr>
      </w:pPr>
    </w:p>
    <w:p w14:paraId="4F643F4C">
      <w:pPr>
        <w:pStyle w:val="521"/>
        <w:shd w:val="clear" w:color="auto" w:fill="auto"/>
        <w:rPr>
          <w:rFonts w:hint="eastAsia"/>
          <w:color w:val="auto"/>
          <w:highlight w:val="none"/>
        </w:rPr>
      </w:pPr>
    </w:p>
    <w:p w14:paraId="622FA68A">
      <w:pPr>
        <w:pStyle w:val="521"/>
        <w:shd w:val="clear" w:color="auto" w:fill="auto"/>
        <w:outlineLvl w:val="1"/>
        <w:rPr>
          <w:color w:val="auto"/>
          <w:highlight w:val="none"/>
        </w:rPr>
      </w:pPr>
      <w:bookmarkStart w:id="105" w:name="_Toc18935"/>
      <w:r>
        <w:rPr>
          <w:color w:val="auto"/>
          <w:highlight w:val="none"/>
        </w:rPr>
        <w:t>三、投标人</w:t>
      </w:r>
      <w:bookmarkEnd w:id="103"/>
      <w:bookmarkEnd w:id="104"/>
      <w:bookmarkEnd w:id="105"/>
      <w:r>
        <w:rPr>
          <w:rFonts w:hint="eastAsia" w:ascii="宋体" w:hAnsi="宋体" w:cs="Arial"/>
          <w:bCs/>
          <w:color w:val="auto"/>
          <w:highlight w:val="none"/>
        </w:rPr>
        <w:t>具有良好的商业信誉和健全的财务会计制度</w:t>
      </w:r>
    </w:p>
    <w:p w14:paraId="7FD3E81B">
      <w:pPr>
        <w:pStyle w:val="578"/>
        <w:shd w:val="clear" w:color="auto" w:fill="auto"/>
        <w:rPr>
          <w:color w:val="auto"/>
          <w:highlight w:val="none"/>
        </w:rPr>
      </w:pPr>
      <w:r>
        <w:rPr>
          <w:rFonts w:hint="eastAsia" w:ascii="宋体"/>
          <w:bCs/>
          <w:color w:val="auto"/>
          <w:szCs w:val="32"/>
          <w:highlight w:val="none"/>
        </w:rPr>
        <w:t>提供符合招标文件要求的资料</w:t>
      </w:r>
    </w:p>
    <w:p w14:paraId="760C214A">
      <w:pPr>
        <w:pStyle w:val="615"/>
        <w:shd w:val="clear" w:color="auto" w:fill="auto"/>
        <w:outlineLvl w:val="1"/>
        <w:rPr>
          <w:color w:val="auto"/>
          <w:highlight w:val="none"/>
        </w:rPr>
      </w:pPr>
      <w:r>
        <w:rPr>
          <w:color w:val="auto"/>
          <w:highlight w:val="none"/>
        </w:rPr>
        <w:br w:type="page" w:clear="all"/>
      </w:r>
      <w:bookmarkStart w:id="106" w:name="_Toc11562_WPSOffice_Level2"/>
      <w:bookmarkStart w:id="107" w:name="_Toc514054489"/>
      <w:bookmarkStart w:id="108" w:name="_Toc29626"/>
      <w:r>
        <w:rPr>
          <w:color w:val="auto"/>
          <w:highlight w:val="none"/>
        </w:rPr>
        <w:t>四、</w:t>
      </w:r>
      <w:bookmarkEnd w:id="106"/>
      <w:bookmarkEnd w:id="107"/>
      <w:bookmarkEnd w:id="108"/>
      <w:r>
        <w:rPr>
          <w:rFonts w:hint="eastAsia" w:ascii="宋体" w:hAnsi="宋体" w:cs="Arial"/>
          <w:bCs/>
          <w:color w:val="auto"/>
          <w:highlight w:val="none"/>
        </w:rPr>
        <w:t>具有履行合同所必需的设备和专业技术能力</w:t>
      </w:r>
    </w:p>
    <w:p w14:paraId="07E51E39">
      <w:pPr>
        <w:pStyle w:val="352"/>
        <w:shd w:val="clear" w:color="auto" w:fill="auto"/>
        <w:spacing w:line="600" w:lineRule="exact"/>
        <w:jc w:val="center"/>
        <w:rPr>
          <w:rFonts w:hint="eastAsia" w:ascii="宋体" w:hAnsi="宋体"/>
          <w:b/>
          <w:color w:val="auto"/>
          <w:sz w:val="32"/>
          <w:szCs w:val="24"/>
          <w:highlight w:val="none"/>
        </w:rPr>
      </w:pPr>
      <w:bookmarkStart w:id="109" w:name="_Toc31740_WPSOffice_Level2"/>
    </w:p>
    <w:p w14:paraId="4999D80E">
      <w:pPr>
        <w:pStyle w:val="352"/>
        <w:shd w:val="clear" w:color="auto" w:fill="auto"/>
        <w:spacing w:line="600" w:lineRule="exact"/>
        <w:jc w:val="center"/>
        <w:rPr>
          <w:rFonts w:hint="eastAsia" w:ascii="宋体" w:hAnsi="宋体"/>
          <w:b/>
          <w:color w:val="auto"/>
          <w:sz w:val="32"/>
          <w:szCs w:val="24"/>
          <w:highlight w:val="none"/>
        </w:rPr>
      </w:pPr>
      <w:r>
        <w:rPr>
          <w:rFonts w:hint="eastAsia" w:ascii="宋体" w:hAnsi="宋体"/>
          <w:b/>
          <w:color w:val="auto"/>
          <w:sz w:val="32"/>
          <w:szCs w:val="24"/>
          <w:highlight w:val="none"/>
        </w:rPr>
        <w:t>具备履行合同所必需的设备和专业技术能力的声明</w:t>
      </w:r>
      <w:bookmarkEnd w:id="109"/>
    </w:p>
    <w:p w14:paraId="1AF30AB4">
      <w:pPr>
        <w:pStyle w:val="352"/>
        <w:shd w:val="clear" w:color="auto" w:fill="auto"/>
        <w:spacing w:line="600" w:lineRule="exact"/>
        <w:rPr>
          <w:rFonts w:hint="eastAsia" w:ascii="仿宋_GB2312" w:eastAsia="仿宋_GB2312"/>
          <w:color w:val="auto"/>
          <w:sz w:val="24"/>
          <w:highlight w:val="none"/>
          <w:u w:val="single"/>
        </w:rPr>
      </w:pPr>
    </w:p>
    <w:p w14:paraId="271601EE">
      <w:pPr>
        <w:pStyle w:val="352"/>
        <w:shd w:val="clear" w:color="auto" w:fill="auto"/>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u w:val="single"/>
        </w:rPr>
        <w:t>（采购单位）</w:t>
      </w:r>
      <w:r>
        <w:rPr>
          <w:rFonts w:hint="eastAsia" w:ascii="仿宋_GB2312" w:eastAsia="仿宋_GB2312"/>
          <w:color w:val="auto"/>
          <w:sz w:val="24"/>
          <w:highlight w:val="none"/>
        </w:rPr>
        <w:t>：</w:t>
      </w:r>
    </w:p>
    <w:p w14:paraId="4C54906A">
      <w:pPr>
        <w:pStyle w:val="352"/>
        <w:shd w:val="clear" w:color="auto" w:fill="auto"/>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合同的设备和专业技术能力。</w:t>
      </w:r>
    </w:p>
    <w:p w14:paraId="0701891A">
      <w:pPr>
        <w:pStyle w:val="352"/>
        <w:shd w:val="clear" w:color="auto" w:fill="auto"/>
        <w:spacing w:line="6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特此声明。</w:t>
      </w:r>
    </w:p>
    <w:p w14:paraId="028E2B8A">
      <w:pPr>
        <w:pStyle w:val="352"/>
        <w:shd w:val="clear" w:color="auto" w:fill="auto"/>
        <w:spacing w:line="600" w:lineRule="exact"/>
        <w:ind w:firstLine="480"/>
        <w:rPr>
          <w:rFonts w:hint="eastAsia" w:ascii="仿宋_GB2312" w:eastAsia="仿宋_GB2312"/>
          <w:color w:val="auto"/>
          <w:sz w:val="24"/>
          <w:highlight w:val="none"/>
        </w:rPr>
      </w:pPr>
    </w:p>
    <w:p w14:paraId="50E8BD13">
      <w:pPr>
        <w:pStyle w:val="352"/>
        <w:shd w:val="clear" w:color="auto" w:fill="auto"/>
        <w:spacing w:line="600" w:lineRule="exact"/>
        <w:jc w:val="center"/>
        <w:rPr>
          <w:rFonts w:hint="eastAsia" w:ascii="宋体"/>
          <w:b/>
          <w:bCs/>
          <w:color w:val="auto"/>
          <w:sz w:val="32"/>
          <w:szCs w:val="32"/>
          <w:highlight w:val="none"/>
        </w:rPr>
      </w:pPr>
    </w:p>
    <w:p w14:paraId="41D74AAA">
      <w:pPr>
        <w:pStyle w:val="345"/>
        <w:shd w:val="clear" w:color="auto" w:fill="auto"/>
        <w:spacing w:line="700" w:lineRule="exact"/>
        <w:ind w:firstLine="629"/>
        <w:rPr>
          <w:rFonts w:hint="eastAsia"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29CA1DA5">
      <w:pPr>
        <w:pStyle w:val="345"/>
        <w:shd w:val="clear" w:color="auto" w:fill="auto"/>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25D48895">
      <w:pPr>
        <w:pStyle w:val="548"/>
        <w:shd w:val="clear" w:color="auto" w:fill="auto"/>
        <w:ind w:firstLine="720"/>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2442B25A">
      <w:pPr>
        <w:pStyle w:val="360"/>
        <w:shd w:val="clear" w:color="auto" w:fill="auto"/>
        <w:spacing w:after="100" w:afterAutospacing="1"/>
        <w:rPr>
          <w:rFonts w:hint="eastAsia" w:ascii="宋体" w:hAnsi="宋体" w:cs="Arial"/>
          <w:bCs/>
          <w:color w:val="auto"/>
          <w:highlight w:val="none"/>
        </w:rPr>
      </w:pPr>
      <w:r>
        <w:rPr>
          <w:color w:val="auto"/>
          <w:highlight w:val="none"/>
        </w:rPr>
        <w:br w:type="page" w:clear="all"/>
      </w:r>
      <w:bookmarkStart w:id="110" w:name="_Toc514054490"/>
      <w:bookmarkStart w:id="111" w:name="_Toc13419"/>
      <w:bookmarkStart w:id="112" w:name="_Toc467_WPSOffice_Level2"/>
      <w:r>
        <w:rPr>
          <w:rFonts w:hint="eastAsia" w:ascii="宋体" w:hAnsi="宋体" w:eastAsia="黑体" w:cs="Arial"/>
          <w:b/>
          <w:bCs/>
          <w:color w:val="auto"/>
          <w:sz w:val="32"/>
          <w:highlight w:val="none"/>
        </w:rPr>
        <w:t>五、</w:t>
      </w:r>
      <w:bookmarkEnd w:id="110"/>
      <w:bookmarkEnd w:id="111"/>
      <w:bookmarkEnd w:id="112"/>
      <w:r>
        <w:rPr>
          <w:rFonts w:hint="eastAsia" w:ascii="宋体" w:hAnsi="宋体" w:eastAsia="黑体" w:cs="Arial"/>
          <w:b/>
          <w:bCs/>
          <w:color w:val="auto"/>
          <w:sz w:val="32"/>
          <w:highlight w:val="none"/>
        </w:rPr>
        <w:t>有依法缴纳税收和社会保障资金的良好记录</w:t>
      </w:r>
    </w:p>
    <w:p w14:paraId="13235052">
      <w:pPr>
        <w:pStyle w:val="578"/>
        <w:shd w:val="clear" w:color="auto" w:fill="auto"/>
        <w:rPr>
          <w:color w:val="auto"/>
          <w:highlight w:val="none"/>
        </w:rPr>
      </w:pPr>
      <w:r>
        <w:rPr>
          <w:rFonts w:hint="eastAsia" w:ascii="宋体"/>
          <w:bCs/>
          <w:color w:val="auto"/>
          <w:szCs w:val="32"/>
          <w:highlight w:val="none"/>
        </w:rPr>
        <w:t>提供符合招标文件要求的资料</w:t>
      </w:r>
    </w:p>
    <w:p w14:paraId="500865D6">
      <w:pPr>
        <w:pStyle w:val="373"/>
        <w:shd w:val="clear" w:color="auto" w:fill="auto"/>
        <w:outlineLvl w:val="1"/>
        <w:rPr>
          <w:color w:val="auto"/>
          <w:highlight w:val="none"/>
        </w:rPr>
      </w:pPr>
    </w:p>
    <w:p w14:paraId="1F3DA501">
      <w:pPr>
        <w:pStyle w:val="373"/>
        <w:shd w:val="clear" w:color="auto" w:fill="auto"/>
        <w:outlineLvl w:val="1"/>
        <w:rPr>
          <w:color w:val="auto"/>
          <w:highlight w:val="none"/>
        </w:rPr>
      </w:pPr>
    </w:p>
    <w:p w14:paraId="7B7F6E88">
      <w:pPr>
        <w:pStyle w:val="373"/>
        <w:shd w:val="clear" w:color="auto" w:fill="auto"/>
        <w:outlineLvl w:val="1"/>
        <w:rPr>
          <w:color w:val="auto"/>
          <w:highlight w:val="none"/>
        </w:rPr>
      </w:pPr>
    </w:p>
    <w:p w14:paraId="69B139C3">
      <w:pPr>
        <w:pStyle w:val="373"/>
        <w:shd w:val="clear" w:color="auto" w:fill="auto"/>
        <w:outlineLvl w:val="1"/>
        <w:rPr>
          <w:color w:val="auto"/>
          <w:highlight w:val="none"/>
        </w:rPr>
      </w:pPr>
    </w:p>
    <w:p w14:paraId="4C7CC192">
      <w:pPr>
        <w:pStyle w:val="373"/>
        <w:shd w:val="clear" w:color="auto" w:fill="auto"/>
        <w:outlineLvl w:val="1"/>
        <w:rPr>
          <w:color w:val="auto"/>
          <w:highlight w:val="none"/>
        </w:rPr>
      </w:pPr>
    </w:p>
    <w:p w14:paraId="303B56FE">
      <w:pPr>
        <w:pStyle w:val="373"/>
        <w:shd w:val="clear" w:color="auto" w:fill="auto"/>
        <w:outlineLvl w:val="1"/>
        <w:rPr>
          <w:color w:val="auto"/>
          <w:highlight w:val="none"/>
        </w:rPr>
      </w:pPr>
    </w:p>
    <w:p w14:paraId="01FBBAA3">
      <w:pPr>
        <w:pStyle w:val="373"/>
        <w:shd w:val="clear" w:color="auto" w:fill="auto"/>
        <w:outlineLvl w:val="1"/>
        <w:rPr>
          <w:color w:val="auto"/>
          <w:highlight w:val="none"/>
        </w:rPr>
      </w:pPr>
    </w:p>
    <w:p w14:paraId="0343F36F">
      <w:pPr>
        <w:pStyle w:val="373"/>
        <w:shd w:val="clear" w:color="auto" w:fill="auto"/>
        <w:outlineLvl w:val="1"/>
        <w:rPr>
          <w:color w:val="auto"/>
          <w:highlight w:val="none"/>
        </w:rPr>
      </w:pPr>
    </w:p>
    <w:p w14:paraId="04DD0295">
      <w:pPr>
        <w:pStyle w:val="373"/>
        <w:shd w:val="clear" w:color="auto" w:fill="auto"/>
        <w:outlineLvl w:val="1"/>
        <w:rPr>
          <w:color w:val="auto"/>
          <w:highlight w:val="none"/>
        </w:rPr>
      </w:pPr>
    </w:p>
    <w:p w14:paraId="6A5AA821">
      <w:pPr>
        <w:pStyle w:val="373"/>
        <w:shd w:val="clear" w:color="auto" w:fill="auto"/>
        <w:outlineLvl w:val="1"/>
        <w:rPr>
          <w:color w:val="auto"/>
          <w:highlight w:val="none"/>
        </w:rPr>
      </w:pPr>
    </w:p>
    <w:p w14:paraId="27E626E3">
      <w:pPr>
        <w:pStyle w:val="373"/>
        <w:shd w:val="clear" w:color="auto" w:fill="auto"/>
        <w:outlineLvl w:val="1"/>
        <w:rPr>
          <w:color w:val="auto"/>
          <w:highlight w:val="none"/>
        </w:rPr>
      </w:pPr>
    </w:p>
    <w:p w14:paraId="349E1A66">
      <w:pPr>
        <w:pStyle w:val="373"/>
        <w:shd w:val="clear" w:color="auto" w:fill="auto"/>
        <w:outlineLvl w:val="1"/>
        <w:rPr>
          <w:color w:val="auto"/>
          <w:highlight w:val="none"/>
        </w:rPr>
      </w:pPr>
    </w:p>
    <w:p w14:paraId="27893D4D">
      <w:pPr>
        <w:pStyle w:val="373"/>
        <w:shd w:val="clear" w:color="auto" w:fill="auto"/>
        <w:outlineLvl w:val="1"/>
        <w:rPr>
          <w:color w:val="auto"/>
          <w:highlight w:val="none"/>
        </w:rPr>
      </w:pPr>
    </w:p>
    <w:p w14:paraId="1ED553CD">
      <w:pPr>
        <w:pStyle w:val="373"/>
        <w:shd w:val="clear" w:color="auto" w:fill="auto"/>
        <w:outlineLvl w:val="1"/>
        <w:rPr>
          <w:color w:val="auto"/>
          <w:highlight w:val="none"/>
        </w:rPr>
      </w:pPr>
    </w:p>
    <w:p w14:paraId="70FCEE8F">
      <w:pPr>
        <w:pStyle w:val="373"/>
        <w:shd w:val="clear" w:color="auto" w:fill="auto"/>
        <w:outlineLvl w:val="1"/>
        <w:rPr>
          <w:color w:val="auto"/>
          <w:highlight w:val="none"/>
        </w:rPr>
      </w:pPr>
    </w:p>
    <w:p w14:paraId="13CF7CC6">
      <w:pPr>
        <w:pStyle w:val="373"/>
        <w:shd w:val="clear" w:color="auto" w:fill="auto"/>
        <w:outlineLvl w:val="1"/>
        <w:rPr>
          <w:color w:val="auto"/>
          <w:highlight w:val="none"/>
        </w:rPr>
      </w:pPr>
    </w:p>
    <w:p w14:paraId="197973E0">
      <w:pPr>
        <w:pStyle w:val="373"/>
        <w:shd w:val="clear" w:color="auto" w:fill="auto"/>
        <w:outlineLvl w:val="1"/>
        <w:rPr>
          <w:color w:val="auto"/>
          <w:highlight w:val="none"/>
        </w:rPr>
      </w:pPr>
    </w:p>
    <w:p w14:paraId="5BA40406">
      <w:pPr>
        <w:pStyle w:val="373"/>
        <w:shd w:val="clear" w:color="auto" w:fill="auto"/>
        <w:outlineLvl w:val="1"/>
        <w:rPr>
          <w:color w:val="auto"/>
          <w:highlight w:val="none"/>
        </w:rPr>
      </w:pPr>
    </w:p>
    <w:p w14:paraId="2D7F6606">
      <w:pPr>
        <w:pStyle w:val="373"/>
        <w:shd w:val="clear" w:color="auto" w:fill="auto"/>
        <w:outlineLvl w:val="1"/>
        <w:rPr>
          <w:color w:val="auto"/>
          <w:highlight w:val="none"/>
        </w:rPr>
      </w:pPr>
    </w:p>
    <w:p w14:paraId="55470D27">
      <w:pPr>
        <w:pStyle w:val="373"/>
        <w:shd w:val="clear" w:color="auto" w:fill="auto"/>
        <w:outlineLvl w:val="1"/>
        <w:rPr>
          <w:color w:val="auto"/>
          <w:highlight w:val="none"/>
        </w:rPr>
      </w:pPr>
    </w:p>
    <w:p w14:paraId="2CEC6CEF">
      <w:pPr>
        <w:pStyle w:val="373"/>
        <w:shd w:val="clear" w:color="auto" w:fill="auto"/>
        <w:outlineLvl w:val="1"/>
        <w:rPr>
          <w:color w:val="auto"/>
          <w:highlight w:val="none"/>
        </w:rPr>
      </w:pPr>
    </w:p>
    <w:p w14:paraId="11323325">
      <w:pPr>
        <w:pStyle w:val="373"/>
        <w:shd w:val="clear" w:color="auto" w:fill="auto"/>
        <w:outlineLvl w:val="1"/>
        <w:rPr>
          <w:color w:val="auto"/>
          <w:highlight w:val="none"/>
        </w:rPr>
      </w:pPr>
    </w:p>
    <w:p w14:paraId="1853E59C">
      <w:pPr>
        <w:pStyle w:val="373"/>
        <w:shd w:val="clear" w:color="auto" w:fill="auto"/>
        <w:outlineLvl w:val="1"/>
        <w:rPr>
          <w:color w:val="auto"/>
          <w:highlight w:val="none"/>
        </w:rPr>
      </w:pPr>
    </w:p>
    <w:p w14:paraId="7BAE04A4">
      <w:pPr>
        <w:pStyle w:val="373"/>
        <w:shd w:val="clear" w:color="auto" w:fill="auto"/>
        <w:outlineLvl w:val="1"/>
        <w:rPr>
          <w:color w:val="auto"/>
          <w:highlight w:val="none"/>
        </w:rPr>
      </w:pPr>
    </w:p>
    <w:p w14:paraId="2F0C342F">
      <w:pPr>
        <w:pStyle w:val="373"/>
        <w:shd w:val="clear" w:color="auto" w:fill="auto"/>
        <w:outlineLvl w:val="1"/>
        <w:rPr>
          <w:color w:val="auto"/>
          <w:highlight w:val="none"/>
        </w:rPr>
      </w:pPr>
    </w:p>
    <w:p w14:paraId="4D9FE9BA">
      <w:pPr>
        <w:pStyle w:val="373"/>
        <w:shd w:val="clear" w:color="auto" w:fill="auto"/>
        <w:outlineLvl w:val="1"/>
        <w:rPr>
          <w:color w:val="auto"/>
          <w:highlight w:val="none"/>
        </w:rPr>
      </w:pPr>
    </w:p>
    <w:p w14:paraId="713DCD83">
      <w:pPr>
        <w:pStyle w:val="373"/>
        <w:shd w:val="clear" w:color="auto" w:fill="auto"/>
        <w:outlineLvl w:val="1"/>
        <w:rPr>
          <w:color w:val="auto"/>
          <w:highlight w:val="none"/>
        </w:rPr>
      </w:pPr>
    </w:p>
    <w:p w14:paraId="71F8E378">
      <w:pPr>
        <w:pStyle w:val="373"/>
        <w:shd w:val="clear" w:color="auto" w:fill="auto"/>
        <w:outlineLvl w:val="1"/>
        <w:rPr>
          <w:color w:val="auto"/>
          <w:highlight w:val="none"/>
        </w:rPr>
      </w:pPr>
    </w:p>
    <w:p w14:paraId="62713039">
      <w:pPr>
        <w:pStyle w:val="373"/>
        <w:shd w:val="clear" w:color="auto" w:fill="auto"/>
        <w:outlineLvl w:val="1"/>
        <w:rPr>
          <w:color w:val="auto"/>
          <w:highlight w:val="none"/>
        </w:rPr>
      </w:pPr>
    </w:p>
    <w:p w14:paraId="3EB34A8B">
      <w:pPr>
        <w:pStyle w:val="373"/>
        <w:shd w:val="clear" w:color="auto" w:fill="auto"/>
        <w:outlineLvl w:val="1"/>
        <w:rPr>
          <w:color w:val="auto"/>
          <w:highlight w:val="none"/>
        </w:rPr>
      </w:pPr>
    </w:p>
    <w:p w14:paraId="53C55400">
      <w:pPr>
        <w:pStyle w:val="373"/>
        <w:shd w:val="clear" w:color="auto" w:fill="auto"/>
        <w:outlineLvl w:val="1"/>
        <w:rPr>
          <w:color w:val="auto"/>
          <w:highlight w:val="none"/>
        </w:rPr>
      </w:pPr>
    </w:p>
    <w:p w14:paraId="6FC6CFE6">
      <w:pPr>
        <w:pStyle w:val="373"/>
        <w:shd w:val="clear" w:color="auto" w:fill="auto"/>
        <w:outlineLvl w:val="1"/>
        <w:rPr>
          <w:color w:val="auto"/>
          <w:highlight w:val="none"/>
        </w:rPr>
      </w:pPr>
    </w:p>
    <w:p w14:paraId="6CC4E1CC">
      <w:pPr>
        <w:pStyle w:val="378"/>
        <w:shd w:val="clear" w:color="auto" w:fill="auto"/>
        <w:outlineLvl w:val="1"/>
        <w:rPr>
          <w:color w:val="auto"/>
          <w:highlight w:val="none"/>
        </w:rPr>
      </w:pPr>
      <w:bookmarkStart w:id="113" w:name="_Toc514054491"/>
      <w:bookmarkStart w:id="114" w:name="_Toc19673"/>
      <w:bookmarkStart w:id="115" w:name="_Toc5571_WPSOffice_Level2"/>
      <w:r>
        <w:rPr>
          <w:color w:val="auto"/>
          <w:highlight w:val="none"/>
        </w:rPr>
        <w:t>六、无重大违法行为声明</w:t>
      </w:r>
      <w:bookmarkEnd w:id="113"/>
      <w:bookmarkEnd w:id="114"/>
      <w:bookmarkEnd w:id="115"/>
    </w:p>
    <w:p w14:paraId="4F01D862">
      <w:pPr>
        <w:pStyle w:val="576"/>
        <w:shd w:val="clear" w:color="auto" w:fill="auto"/>
        <w:tabs>
          <w:tab w:val="left" w:pos="1498"/>
        </w:tabs>
        <w:spacing w:line="580" w:lineRule="exact"/>
        <w:jc w:val="center"/>
        <w:rPr>
          <w:rFonts w:hint="eastAsia"/>
          <w:b/>
          <w:color w:val="auto"/>
          <w:sz w:val="32"/>
          <w:szCs w:val="32"/>
          <w:highlight w:val="none"/>
        </w:rPr>
      </w:pPr>
      <w:bookmarkStart w:id="116" w:name="_Toc7575_WPSOffice_Level2"/>
      <w:r>
        <w:rPr>
          <w:rFonts w:hint="eastAsia"/>
          <w:b/>
          <w:color w:val="auto"/>
          <w:sz w:val="32"/>
          <w:szCs w:val="32"/>
          <w:highlight w:val="none"/>
        </w:rPr>
        <w:t>无重大违法行为声明</w:t>
      </w:r>
      <w:bookmarkEnd w:id="116"/>
    </w:p>
    <w:p w14:paraId="1E8C60AD">
      <w:pPr>
        <w:pStyle w:val="576"/>
        <w:shd w:val="clear" w:color="auto" w:fill="auto"/>
        <w:tabs>
          <w:tab w:val="left" w:pos="1498"/>
        </w:tabs>
        <w:spacing w:line="580" w:lineRule="exact"/>
        <w:rPr>
          <w:rFonts w:hint="eastAsia"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名称）</w:t>
      </w:r>
      <w:r>
        <w:rPr>
          <w:rFonts w:hint="eastAsia"/>
          <w:color w:val="auto"/>
          <w:sz w:val="24"/>
          <w:highlight w:val="none"/>
          <w:u w:val="single"/>
        </w:rPr>
        <w:t xml:space="preserve">    </w:t>
      </w:r>
      <w:r>
        <w:rPr>
          <w:rFonts w:hint="eastAsia" w:ascii="仿宋_GB2312" w:eastAsia="仿宋_GB2312"/>
          <w:color w:val="auto"/>
          <w:sz w:val="24"/>
          <w:highlight w:val="none"/>
        </w:rPr>
        <w:t>：</w:t>
      </w:r>
    </w:p>
    <w:p w14:paraId="038596ED">
      <w:pPr>
        <w:pStyle w:val="576"/>
        <w:shd w:val="clear" w:color="auto" w:fill="auto"/>
        <w:spacing w:line="600" w:lineRule="exact"/>
        <w:ind w:firstLine="600"/>
        <w:rPr>
          <w:rFonts w:hint="eastAsia" w:ascii="仿宋_GB2312" w:eastAsia="仿宋_GB2312"/>
          <w:color w:val="auto"/>
          <w:sz w:val="24"/>
          <w:highlight w:val="none"/>
        </w:rPr>
      </w:pPr>
      <w:r>
        <w:rPr>
          <w:rFonts w:hint="eastAsia" w:ascii="仿宋_GB2312" w:eastAsia="仿宋_GB2312"/>
          <w:color w:val="auto"/>
          <w:sz w:val="24"/>
          <w:highlight w:val="none"/>
        </w:rPr>
        <w:t>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项目的投标活动前3年内，</w:t>
      </w:r>
      <w:r>
        <w:rPr>
          <w:rFonts w:ascii="仿宋_GB2312" w:eastAsia="仿宋_GB2312"/>
          <w:color w:val="auto"/>
          <w:sz w:val="24"/>
          <w:highlight w:val="none"/>
        </w:rPr>
        <w:t>在经营活动中没有重大违法记录</w:t>
      </w:r>
      <w:r>
        <w:rPr>
          <w:rFonts w:hint="eastAsia" w:ascii="仿宋_GB2312" w:eastAsia="仿宋_GB2312"/>
          <w:color w:val="auto"/>
          <w:sz w:val="24"/>
          <w:highlight w:val="none"/>
        </w:rPr>
        <w:t>。</w:t>
      </w:r>
    </w:p>
    <w:p w14:paraId="6B23C717">
      <w:pPr>
        <w:pStyle w:val="576"/>
        <w:shd w:val="clear" w:color="auto" w:fill="auto"/>
        <w:spacing w:line="600" w:lineRule="exact"/>
        <w:ind w:firstLine="600"/>
        <w:rPr>
          <w:rFonts w:hint="eastAsia" w:ascii="仿宋_GB2312" w:eastAsia="仿宋_GB2312"/>
          <w:color w:val="auto"/>
          <w:sz w:val="24"/>
          <w:highlight w:val="none"/>
        </w:rPr>
      </w:pPr>
      <w:r>
        <w:rPr>
          <w:rFonts w:hint="eastAsia" w:ascii="仿宋_GB2312" w:eastAsia="仿宋_GB2312"/>
          <w:color w:val="auto"/>
          <w:sz w:val="24"/>
          <w:highlight w:val="none"/>
        </w:rPr>
        <w:t>特此声明。</w:t>
      </w:r>
    </w:p>
    <w:p w14:paraId="4D35FB95">
      <w:pPr>
        <w:pStyle w:val="576"/>
        <w:shd w:val="clear" w:color="auto" w:fill="auto"/>
        <w:spacing w:line="600" w:lineRule="exact"/>
        <w:ind w:firstLine="600"/>
        <w:rPr>
          <w:rFonts w:hint="eastAsia" w:ascii="仿宋_GB2312" w:eastAsia="仿宋_GB2312"/>
          <w:color w:val="auto"/>
          <w:sz w:val="24"/>
          <w:highlight w:val="none"/>
        </w:rPr>
      </w:pPr>
    </w:p>
    <w:p w14:paraId="5FA1A245">
      <w:pPr>
        <w:pStyle w:val="576"/>
        <w:shd w:val="clear" w:color="auto" w:fill="auto"/>
        <w:spacing w:line="600" w:lineRule="exact"/>
        <w:ind w:firstLine="600"/>
        <w:rPr>
          <w:rFonts w:hint="eastAsia" w:ascii="仿宋_GB2312" w:eastAsia="仿宋_GB2312"/>
          <w:color w:val="auto"/>
          <w:sz w:val="24"/>
          <w:highlight w:val="none"/>
        </w:rPr>
      </w:pPr>
      <w:r>
        <w:rPr>
          <w:rFonts w:hint="eastAsia" w:ascii="仿宋_GB2312" w:eastAsia="仿宋_GB2312"/>
          <w:color w:val="auto"/>
          <w:sz w:val="24"/>
          <w:highlight w:val="none"/>
        </w:rPr>
        <w:t>注：重大违法记录，是指供应商因违法经营受到刑事处罚或者责令停产停业、吊销许可证或者执照、较大数额罚款等行政处罚。</w:t>
      </w:r>
    </w:p>
    <w:p w14:paraId="179524C6">
      <w:pPr>
        <w:pStyle w:val="576"/>
        <w:shd w:val="clear" w:color="auto" w:fill="auto"/>
        <w:spacing w:line="600" w:lineRule="exact"/>
        <w:ind w:firstLine="600"/>
        <w:rPr>
          <w:rFonts w:hint="eastAsia" w:ascii="仿宋_GB2312" w:eastAsia="仿宋_GB2312"/>
          <w:color w:val="auto"/>
          <w:sz w:val="24"/>
          <w:highlight w:val="none"/>
        </w:rPr>
      </w:pPr>
    </w:p>
    <w:p w14:paraId="001EBFFC">
      <w:pPr>
        <w:pStyle w:val="576"/>
        <w:shd w:val="clear" w:color="auto" w:fill="auto"/>
        <w:spacing w:line="600" w:lineRule="exact"/>
        <w:ind w:firstLine="600"/>
        <w:rPr>
          <w:rFonts w:hint="eastAsia" w:ascii="仿宋_GB2312" w:eastAsia="仿宋_GB2312"/>
          <w:color w:val="auto"/>
          <w:sz w:val="24"/>
          <w:highlight w:val="none"/>
        </w:rPr>
      </w:pPr>
    </w:p>
    <w:p w14:paraId="11DB10B1">
      <w:pPr>
        <w:pStyle w:val="345"/>
        <w:shd w:val="clear" w:color="auto" w:fill="auto"/>
        <w:spacing w:line="700" w:lineRule="exact"/>
        <w:ind w:firstLine="629"/>
        <w:rPr>
          <w:rFonts w:hint="eastAsia"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31991FB1">
      <w:pPr>
        <w:pStyle w:val="345"/>
        <w:shd w:val="clear" w:color="auto" w:fill="auto"/>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1F246082">
      <w:pPr>
        <w:pStyle w:val="528"/>
        <w:shd w:val="clear" w:color="auto" w:fill="auto"/>
        <w:ind w:firstLine="720"/>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117E91F9">
      <w:pPr>
        <w:pStyle w:val="333"/>
        <w:shd w:val="clear" w:color="auto" w:fill="auto"/>
        <w:outlineLvl w:val="1"/>
        <w:rPr>
          <w:color w:val="auto"/>
          <w:highlight w:val="none"/>
        </w:rPr>
      </w:pPr>
      <w:r>
        <w:rPr>
          <w:color w:val="auto"/>
          <w:highlight w:val="none"/>
        </w:rPr>
        <w:br w:type="page" w:clear="all"/>
      </w:r>
      <w:bookmarkStart w:id="117" w:name="_Toc31956_WPSOffice_Level2"/>
      <w:bookmarkStart w:id="118" w:name="_Toc514054492"/>
      <w:bookmarkStart w:id="119" w:name="_Toc30396"/>
      <w:r>
        <w:rPr>
          <w:color w:val="auto"/>
          <w:highlight w:val="none"/>
        </w:rPr>
        <w:t>七、投标函</w:t>
      </w:r>
      <w:bookmarkEnd w:id="117"/>
      <w:bookmarkEnd w:id="118"/>
      <w:bookmarkEnd w:id="119"/>
    </w:p>
    <w:p w14:paraId="67BB3805">
      <w:pPr>
        <w:pStyle w:val="413"/>
        <w:shd w:val="clear" w:color="auto" w:fill="auto"/>
        <w:tabs>
          <w:tab w:val="left" w:pos="1498"/>
        </w:tabs>
        <w:spacing w:line="400" w:lineRule="exact"/>
        <w:rPr>
          <w:rFonts w:hint="eastAsia" w:ascii="仿宋_GB2312" w:eastAsia="仿宋_GB2312"/>
          <w:color w:val="auto"/>
          <w:sz w:val="24"/>
          <w:szCs w:val="22"/>
          <w:highlight w:val="none"/>
        </w:rPr>
      </w:pPr>
      <w:bookmarkStart w:id="120" w:name="_Toc22395"/>
      <w:bookmarkStart w:id="121" w:name="_Toc514054493"/>
      <w:r>
        <w:rPr>
          <w:rFonts w:hint="eastAsia"/>
          <w:color w:val="auto"/>
          <w:sz w:val="24"/>
          <w:highlight w:val="none"/>
          <w:u w:val="single"/>
        </w:rPr>
        <w:t xml:space="preserve">                      </w:t>
      </w:r>
      <w:r>
        <w:rPr>
          <w:rFonts w:hint="eastAsia" w:ascii="仿宋_GB2312" w:eastAsia="仿宋_GB2312"/>
          <w:color w:val="auto"/>
          <w:sz w:val="24"/>
          <w:highlight w:val="none"/>
        </w:rPr>
        <w:t>：</w:t>
      </w:r>
    </w:p>
    <w:p w14:paraId="3D48DF82">
      <w:pPr>
        <w:pStyle w:val="413"/>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的招标活动并投标，为此，我方郑重声明以下诸点，并负法律责任。</w:t>
      </w:r>
    </w:p>
    <w:p w14:paraId="4A259593">
      <w:pPr>
        <w:pStyle w:val="413"/>
        <w:numPr>
          <w:ilvl w:val="0"/>
          <w:numId w:val="11"/>
        </w:numPr>
        <w:shd w:val="clear" w:color="auto" w:fill="auto"/>
        <w:tabs>
          <w:tab w:val="left" w:pos="1498"/>
        </w:tabs>
        <w:spacing w:line="400" w:lineRule="exact"/>
        <w:ind w:firstLine="480"/>
        <w:rPr>
          <w:rFonts w:hint="eastAsia" w:ascii="仿宋_GB2312" w:eastAsia="仿宋_GB2312"/>
          <w:b w:val="0"/>
          <w:bCs w:val="0"/>
          <w:color w:val="auto"/>
          <w:sz w:val="24"/>
          <w:highlight w:val="none"/>
        </w:rPr>
      </w:pPr>
      <w:r>
        <w:rPr>
          <w:rFonts w:hint="eastAsia" w:ascii="仿宋_GB2312" w:eastAsia="仿宋_GB2312"/>
          <w:b w:val="0"/>
          <w:bCs w:val="0"/>
          <w:color w:val="auto"/>
          <w:sz w:val="24"/>
          <w:highlight w:val="none"/>
        </w:rPr>
        <w:t>经研究招标文件的全部内容后，我方愿按招标文件的规定要求提供所有货物和服务；</w:t>
      </w:r>
    </w:p>
    <w:p w14:paraId="7D2B12BA">
      <w:pPr>
        <w:pStyle w:val="413"/>
        <w:shd w:val="clear" w:color="auto" w:fill="auto"/>
        <w:tabs>
          <w:tab w:val="left" w:pos="1498"/>
        </w:tabs>
        <w:spacing w:line="400" w:lineRule="exact"/>
        <w:ind w:firstLine="480"/>
        <w:rPr>
          <w:rFonts w:hint="eastAsia" w:ascii="仿宋_GB2312" w:eastAsia="仿宋_GB2312"/>
          <w:b w:val="0"/>
          <w:bCs w:val="0"/>
          <w:color w:val="auto"/>
          <w:sz w:val="24"/>
          <w:highlight w:val="none"/>
        </w:rPr>
      </w:pPr>
      <w:r>
        <w:rPr>
          <w:rFonts w:hint="eastAsia" w:ascii="仿宋_GB2312" w:eastAsia="仿宋_GB2312"/>
          <w:b w:val="0"/>
          <w:bCs w:val="0"/>
          <w:color w:val="auto"/>
          <w:sz w:val="24"/>
          <w:highlight w:val="none"/>
        </w:rPr>
        <w:t xml:space="preserve">二、我方没有为本采购项目提供整体设计、规范编制，以及项目管理、监理、检测等服务。 </w:t>
      </w:r>
    </w:p>
    <w:p w14:paraId="1DC01C24">
      <w:pPr>
        <w:pStyle w:val="413"/>
        <w:shd w:val="clear" w:color="auto" w:fill="auto"/>
        <w:tabs>
          <w:tab w:val="left" w:pos="1498"/>
        </w:tabs>
        <w:spacing w:line="400" w:lineRule="exact"/>
        <w:ind w:firstLine="480"/>
        <w:rPr>
          <w:rFonts w:hint="eastAsia" w:ascii="仿宋_GB2312" w:eastAsia="仿宋_GB2312"/>
          <w:b w:val="0"/>
          <w:bCs w:val="0"/>
          <w:color w:val="auto"/>
          <w:sz w:val="24"/>
          <w:highlight w:val="none"/>
        </w:rPr>
      </w:pPr>
      <w:r>
        <w:rPr>
          <w:rFonts w:hint="eastAsia" w:ascii="仿宋_GB2312" w:eastAsia="仿宋_GB2312"/>
          <w:b w:val="0"/>
          <w:bCs w:val="0"/>
          <w:color w:val="auto"/>
          <w:sz w:val="24"/>
          <w:highlight w:val="none"/>
        </w:rPr>
        <w:t xml:space="preserve">三、我方与参与本次采购活动的其他投标人的法定代表人或委托代理人无夫妻、直系血亲关系； </w:t>
      </w:r>
    </w:p>
    <w:p w14:paraId="1A1BAFA6">
      <w:pPr>
        <w:pStyle w:val="413"/>
        <w:shd w:val="clear" w:color="auto" w:fill="auto"/>
        <w:tabs>
          <w:tab w:val="left" w:pos="1498"/>
        </w:tabs>
        <w:spacing w:line="400" w:lineRule="exact"/>
        <w:ind w:firstLine="480"/>
        <w:rPr>
          <w:rFonts w:hint="eastAsia" w:ascii="仿宋_GB2312" w:eastAsia="仿宋_GB2312"/>
          <w:b w:val="0"/>
          <w:bCs w:val="0"/>
          <w:color w:val="auto"/>
          <w:sz w:val="24"/>
          <w:highlight w:val="none"/>
        </w:rPr>
      </w:pPr>
      <w:r>
        <w:rPr>
          <w:rFonts w:hint="eastAsia" w:ascii="仿宋_GB2312" w:eastAsia="仿宋_GB2312"/>
          <w:b w:val="0"/>
          <w:bCs w:val="0"/>
          <w:color w:val="auto"/>
          <w:sz w:val="24"/>
          <w:highlight w:val="none"/>
        </w:rPr>
        <w:t xml:space="preserve">四、我方与参与本次采购活动的其他投标人的负责人不是同一人，也不存在直接控股、管理关系。 </w:t>
      </w:r>
    </w:p>
    <w:p w14:paraId="218F1F56">
      <w:pPr>
        <w:pStyle w:val="413"/>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b w:val="0"/>
          <w:bCs w:val="0"/>
          <w:color w:val="auto"/>
          <w:sz w:val="24"/>
          <w:highlight w:val="none"/>
        </w:rPr>
        <w:t>五、我们理解，最低报价不是中标的唯一条件，你们</w:t>
      </w:r>
      <w:r>
        <w:rPr>
          <w:rFonts w:hint="eastAsia" w:ascii="仿宋_GB2312" w:eastAsia="仿宋_GB2312"/>
          <w:color w:val="auto"/>
          <w:sz w:val="24"/>
          <w:highlight w:val="none"/>
        </w:rPr>
        <w:t>有选择中标人的权利；</w:t>
      </w:r>
    </w:p>
    <w:p w14:paraId="26F19E9E">
      <w:pPr>
        <w:pStyle w:val="413"/>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6E27892E">
      <w:pPr>
        <w:pStyle w:val="413"/>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七、一旦我方中标，我方将根据招标文件的规定，严格按照《中华人民共和国民法典》履行自己的责任和义务，并保证于我方承诺的期限内完成项目规定的所有内容。</w:t>
      </w:r>
    </w:p>
    <w:p w14:paraId="2449AED1">
      <w:pPr>
        <w:pStyle w:val="446"/>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八、我方同意遵守贵方有关招标投标的各项规定；</w:t>
      </w:r>
    </w:p>
    <w:p w14:paraId="1DB79FFA">
      <w:pPr>
        <w:pStyle w:val="446"/>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九、我方响应招标文件规定的投标有效期。</w:t>
      </w:r>
    </w:p>
    <w:p w14:paraId="5527004A">
      <w:pPr>
        <w:pStyle w:val="446"/>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3BCE3E95">
      <w:pPr>
        <w:pStyle w:val="446"/>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p>
    <w:p w14:paraId="08DE61BD">
      <w:pPr>
        <w:pStyle w:val="446"/>
        <w:shd w:val="clear" w:color="auto" w:fill="auto"/>
        <w:tabs>
          <w:tab w:val="left" w:pos="1498"/>
        </w:tabs>
        <w:spacing w:line="400" w:lineRule="exact"/>
        <w:ind w:firstLine="480"/>
        <w:rPr>
          <w:rFonts w:ascii="仿宋_GB2312" w:eastAsia="仿宋_GB2312"/>
          <w:color w:val="auto"/>
          <w:sz w:val="24"/>
          <w:highlight w:val="none"/>
        </w:rPr>
      </w:pPr>
      <w:r>
        <w:rPr>
          <w:rFonts w:hint="eastAsia" w:ascii="仿宋_GB2312" w:eastAsia="仿宋_GB2312"/>
          <w:color w:val="auto"/>
          <w:sz w:val="24"/>
          <w:highlight w:val="none"/>
        </w:rPr>
        <w:t>联系人：</w:t>
      </w:r>
      <w:r>
        <w:rPr>
          <w:rFonts w:hint="eastAsia" w:ascii="仿宋_GB2312" w:eastAsia="仿宋_GB2312"/>
          <w:color w:val="auto"/>
          <w:sz w:val="24"/>
          <w:highlight w:val="none"/>
          <w:u w:val="single"/>
        </w:rPr>
        <w:t xml:space="preserve">               </w:t>
      </w:r>
    </w:p>
    <w:p w14:paraId="0DAFBBF4">
      <w:pPr>
        <w:pStyle w:val="446"/>
        <w:shd w:val="clear" w:color="auto" w:fill="auto"/>
        <w:tabs>
          <w:tab w:val="left" w:pos="1498"/>
        </w:tabs>
        <w:spacing w:line="400" w:lineRule="exact"/>
        <w:ind w:firstLine="480"/>
        <w:rPr>
          <w:rFonts w:hint="eastAsia" w:ascii="仿宋_GB2312" w:eastAsia="仿宋_GB2312"/>
          <w:color w:val="auto"/>
          <w:sz w:val="24"/>
          <w:highlight w:val="none"/>
          <w:u w:val="single"/>
        </w:rPr>
      </w:pPr>
      <w:r>
        <w:rPr>
          <w:rFonts w:hint="eastAsia" w:ascii="仿宋_GB2312" w:eastAsia="仿宋_GB2312"/>
          <w:color w:val="auto"/>
          <w:sz w:val="24"/>
          <w:highlight w:val="none"/>
        </w:rPr>
        <w:t>地址：</w:t>
      </w:r>
      <w:r>
        <w:rPr>
          <w:rFonts w:hint="eastAsia" w:ascii="仿宋_GB2312" w:eastAsia="仿宋_GB2312"/>
          <w:color w:val="auto"/>
          <w:sz w:val="24"/>
          <w:highlight w:val="none"/>
          <w:u w:val="single"/>
        </w:rPr>
        <w:t xml:space="preserve">                 </w:t>
      </w:r>
    </w:p>
    <w:p w14:paraId="49DAA0B1">
      <w:pPr>
        <w:pStyle w:val="446"/>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5E0D9CB8">
      <w:pPr>
        <w:pStyle w:val="446"/>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p>
    <w:p w14:paraId="346BE3AD">
      <w:pPr>
        <w:pStyle w:val="446"/>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4FD277F5">
      <w:pPr>
        <w:pStyle w:val="446"/>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1BFF8771">
      <w:pPr>
        <w:pStyle w:val="446"/>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p>
    <w:p w14:paraId="0B740170">
      <w:pPr>
        <w:pStyle w:val="446"/>
        <w:shd w:val="clear" w:color="auto" w:fill="auto"/>
        <w:tabs>
          <w:tab w:val="left" w:pos="1498"/>
        </w:tabs>
        <w:spacing w:line="4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日 期： 年 月 日</w:t>
      </w:r>
    </w:p>
    <w:p w14:paraId="3C4D6FF4">
      <w:pPr>
        <w:pStyle w:val="470"/>
        <w:shd w:val="clear" w:color="auto" w:fill="auto"/>
        <w:spacing w:line="400" w:lineRule="exact"/>
        <w:outlineLvl w:val="1"/>
        <w:rPr>
          <w:rFonts w:hint="eastAsia" w:ascii="仿宋_GB2312" w:hAnsi="Times New Roman" w:eastAsia="仿宋_GB2312"/>
          <w:color w:val="auto"/>
          <w:sz w:val="24"/>
          <w:highlight w:val="none"/>
        </w:rPr>
      </w:pPr>
      <w:r>
        <w:rPr>
          <w:rFonts w:hint="eastAsia" w:ascii="仿宋_GB2312" w:hAnsi="Times New Roman" w:eastAsia="仿宋_GB2312"/>
          <w:color w:val="auto"/>
          <w:sz w:val="24"/>
          <w:highlight w:val="none"/>
          <w:lang w:val="en-US" w:eastAsia="zh-CN"/>
        </w:rPr>
        <w:br w:type="page" w:clear="all"/>
      </w:r>
    </w:p>
    <w:p w14:paraId="3494E697">
      <w:pPr>
        <w:pStyle w:val="470"/>
        <w:shd w:val="clear" w:color="auto" w:fill="auto"/>
        <w:spacing w:line="400" w:lineRule="exact"/>
        <w:outlineLvl w:val="1"/>
        <w:rPr>
          <w:rFonts w:hint="eastAsia" w:ascii="仿宋_GB2312" w:hAnsi="Times New Roman" w:eastAsia="仿宋_GB2312"/>
          <w:color w:val="auto"/>
          <w:sz w:val="24"/>
          <w:highlight w:val="none"/>
        </w:rPr>
      </w:pPr>
    </w:p>
    <w:p w14:paraId="096C42CD">
      <w:pPr>
        <w:pStyle w:val="470"/>
        <w:shd w:val="clear" w:color="auto" w:fill="auto"/>
        <w:spacing w:line="400" w:lineRule="exact"/>
        <w:outlineLvl w:val="1"/>
        <w:rPr>
          <w:color w:val="auto"/>
          <w:highlight w:val="none"/>
        </w:rPr>
      </w:pPr>
      <w:r>
        <w:rPr>
          <w:color w:val="auto"/>
          <w:highlight w:val="none"/>
        </w:rPr>
        <w:t>八、法定代表人身份证明或授权委托书</w:t>
      </w:r>
      <w:bookmarkEnd w:id="120"/>
      <w:bookmarkEnd w:id="121"/>
    </w:p>
    <w:p w14:paraId="49217132">
      <w:pPr>
        <w:pStyle w:val="577"/>
        <w:shd w:val="clear" w:color="auto" w:fill="auto"/>
        <w:spacing w:line="560" w:lineRule="exact"/>
        <w:jc w:val="center"/>
        <w:rPr>
          <w:rFonts w:ascii="宋体"/>
          <w:b/>
          <w:bCs/>
          <w:color w:val="auto"/>
          <w:sz w:val="32"/>
          <w:szCs w:val="32"/>
          <w:highlight w:val="none"/>
        </w:rPr>
      </w:pPr>
      <w:bookmarkStart w:id="122" w:name="_Toc22626_WPSOffice_Level2"/>
    </w:p>
    <w:p w14:paraId="1C502469">
      <w:pPr>
        <w:pStyle w:val="577"/>
        <w:shd w:val="clear" w:color="auto" w:fill="auto"/>
        <w:spacing w:line="560" w:lineRule="exact"/>
        <w:jc w:val="center"/>
        <w:rPr>
          <w:rFonts w:ascii="宋体"/>
          <w:b/>
          <w:bCs/>
          <w:color w:val="auto"/>
          <w:sz w:val="32"/>
          <w:szCs w:val="32"/>
          <w:highlight w:val="none"/>
        </w:rPr>
      </w:pPr>
      <w:r>
        <w:rPr>
          <w:rFonts w:ascii="宋体"/>
          <w:b/>
          <w:bCs/>
          <w:color w:val="auto"/>
          <w:sz w:val="32"/>
          <w:szCs w:val="32"/>
          <w:highlight w:val="none"/>
        </w:rPr>
        <w:t>法定代表人身份证明</w:t>
      </w:r>
      <w:bookmarkEnd w:id="122"/>
    </w:p>
    <w:p w14:paraId="6F5E6D6F">
      <w:pPr>
        <w:pStyle w:val="480"/>
        <w:shd w:val="clear" w:color="auto" w:fill="auto"/>
        <w:spacing w:line="480" w:lineRule="exact"/>
        <w:rPr>
          <w:rFonts w:eastAsia="仿宋_GB2312"/>
          <w:color w:val="auto"/>
          <w:sz w:val="24"/>
          <w:highlight w:val="none"/>
        </w:rPr>
      </w:pPr>
    </w:p>
    <w:p w14:paraId="13CFECA9">
      <w:pPr>
        <w:pStyle w:val="480"/>
        <w:shd w:val="clear" w:color="auto" w:fill="auto"/>
        <w:spacing w:line="480" w:lineRule="exact"/>
        <w:rPr>
          <w:rFonts w:eastAsia="仿宋_GB2312"/>
          <w:color w:val="auto"/>
          <w:sz w:val="24"/>
          <w:highlight w:val="none"/>
        </w:rPr>
      </w:pPr>
      <w:r>
        <w:rPr>
          <w:rFonts w:hint="eastAsia" w:eastAsia="仿宋_GB2312"/>
          <w:color w:val="auto"/>
          <w:sz w:val="24"/>
          <w:highlight w:val="none"/>
        </w:rPr>
        <w:t>供应商</w:t>
      </w:r>
      <w:r>
        <w:rPr>
          <w:rFonts w:eastAsia="仿宋_GB2312"/>
          <w:color w:val="auto"/>
          <w:sz w:val="24"/>
          <w:highlight w:val="none"/>
        </w:rPr>
        <w:t>名称：</w:t>
      </w:r>
      <w:r>
        <w:rPr>
          <w:rFonts w:eastAsia="仿宋_GB2312"/>
          <w:color w:val="auto"/>
          <w:sz w:val="24"/>
          <w:highlight w:val="none"/>
          <w:u w:val="single"/>
        </w:rPr>
        <w:t xml:space="preserve">                            </w:t>
      </w:r>
      <w:r>
        <w:rPr>
          <w:rFonts w:eastAsia="仿宋_GB2312"/>
          <w:color w:val="auto"/>
          <w:sz w:val="24"/>
          <w:highlight w:val="none"/>
        </w:rPr>
        <w:t xml:space="preserve"> </w:t>
      </w:r>
    </w:p>
    <w:p w14:paraId="27FEF4AA">
      <w:pPr>
        <w:pStyle w:val="480"/>
        <w:shd w:val="clear" w:color="auto" w:fill="auto"/>
        <w:spacing w:line="480" w:lineRule="exact"/>
        <w:rPr>
          <w:rFonts w:eastAsia="仿宋_GB2312"/>
          <w:color w:val="auto"/>
          <w:sz w:val="24"/>
          <w:highlight w:val="none"/>
        </w:rPr>
      </w:pPr>
      <w:r>
        <w:rPr>
          <w:rFonts w:eastAsia="仿宋_GB2312"/>
          <w:color w:val="auto"/>
          <w:sz w:val="24"/>
          <w:highlight w:val="none"/>
        </w:rPr>
        <w:t>单位性质：</w:t>
      </w:r>
      <w:r>
        <w:rPr>
          <w:rFonts w:eastAsia="仿宋_GB2312"/>
          <w:color w:val="auto"/>
          <w:sz w:val="24"/>
          <w:highlight w:val="none"/>
          <w:u w:val="single"/>
        </w:rPr>
        <w:t xml:space="preserve">                               </w:t>
      </w:r>
      <w:r>
        <w:rPr>
          <w:rFonts w:eastAsia="仿宋_GB2312"/>
          <w:color w:val="auto"/>
          <w:sz w:val="24"/>
          <w:highlight w:val="none"/>
        </w:rPr>
        <w:t xml:space="preserve"> </w:t>
      </w:r>
    </w:p>
    <w:p w14:paraId="6DB01AA0">
      <w:pPr>
        <w:pStyle w:val="480"/>
        <w:shd w:val="clear" w:color="auto" w:fill="auto"/>
        <w:spacing w:line="480" w:lineRule="exact"/>
        <w:rPr>
          <w:rFonts w:eastAsia="仿宋_GB2312"/>
          <w:color w:val="auto"/>
          <w:sz w:val="24"/>
          <w:highlight w:val="none"/>
        </w:rPr>
      </w:pPr>
      <w:r>
        <w:rPr>
          <w:rFonts w:eastAsia="仿宋_GB2312"/>
          <w:color w:val="auto"/>
          <w:sz w:val="24"/>
          <w:highlight w:val="none"/>
        </w:rPr>
        <w:t>地址：</w:t>
      </w:r>
      <w:r>
        <w:rPr>
          <w:rFonts w:eastAsia="仿宋_GB2312"/>
          <w:color w:val="auto"/>
          <w:sz w:val="24"/>
          <w:highlight w:val="none"/>
          <w:u w:val="single"/>
        </w:rPr>
        <w:t xml:space="preserve">                                   </w:t>
      </w:r>
    </w:p>
    <w:p w14:paraId="33615971">
      <w:pPr>
        <w:pStyle w:val="480"/>
        <w:shd w:val="clear" w:color="auto" w:fill="auto"/>
        <w:spacing w:line="480" w:lineRule="exact"/>
        <w:rPr>
          <w:rFonts w:eastAsia="仿宋_GB2312"/>
          <w:color w:val="auto"/>
          <w:sz w:val="24"/>
          <w:highlight w:val="none"/>
        </w:rPr>
      </w:pPr>
      <w:r>
        <w:rPr>
          <w:rFonts w:eastAsia="仿宋_GB2312"/>
          <w:color w:val="auto"/>
          <w:sz w:val="24"/>
          <w:highlight w:val="none"/>
        </w:rPr>
        <w:t>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p>
    <w:p w14:paraId="6C1B876B">
      <w:pPr>
        <w:pStyle w:val="480"/>
        <w:shd w:val="clear" w:color="auto" w:fill="auto"/>
        <w:spacing w:line="480" w:lineRule="exact"/>
        <w:rPr>
          <w:rFonts w:eastAsia="仿宋_GB2312"/>
          <w:color w:val="auto"/>
          <w:sz w:val="24"/>
          <w:highlight w:val="none"/>
        </w:rPr>
      </w:pPr>
      <w:r>
        <w:rPr>
          <w:rFonts w:eastAsia="仿宋_GB2312"/>
          <w:color w:val="auto"/>
          <w:sz w:val="24"/>
          <w:highlight w:val="none"/>
        </w:rPr>
        <w:t>经营期限：</w:t>
      </w:r>
      <w:r>
        <w:rPr>
          <w:rFonts w:eastAsia="仿宋_GB2312"/>
          <w:color w:val="auto"/>
          <w:sz w:val="24"/>
          <w:highlight w:val="none"/>
          <w:u w:val="single"/>
        </w:rPr>
        <w:t xml:space="preserve">                               </w:t>
      </w:r>
    </w:p>
    <w:p w14:paraId="23C937EC">
      <w:pPr>
        <w:pStyle w:val="480"/>
        <w:shd w:val="clear" w:color="auto" w:fill="auto"/>
        <w:spacing w:line="480" w:lineRule="exact"/>
        <w:rPr>
          <w:rFonts w:hint="eastAsia" w:eastAsia="仿宋_GB2312"/>
          <w:color w:val="auto"/>
          <w:sz w:val="24"/>
          <w:highlight w:val="none"/>
        </w:rPr>
      </w:pPr>
      <w:r>
        <w:rPr>
          <w:rFonts w:eastAsia="仿宋_GB2312"/>
          <w:color w:val="auto"/>
          <w:sz w:val="24"/>
          <w:highlight w:val="none"/>
        </w:rPr>
        <w:t>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职务：</w:t>
      </w:r>
      <w:r>
        <w:rPr>
          <w:rFonts w:eastAsia="仿宋_GB2312"/>
          <w:color w:val="auto"/>
          <w:sz w:val="24"/>
          <w:highlight w:val="none"/>
          <w:u w:val="single"/>
        </w:rPr>
        <w:t xml:space="preserve">        </w:t>
      </w:r>
      <w:r>
        <w:rPr>
          <w:rFonts w:eastAsia="仿宋_GB2312"/>
          <w:color w:val="auto"/>
          <w:sz w:val="24"/>
          <w:highlight w:val="none"/>
        </w:rPr>
        <w:t>系</w:t>
      </w:r>
    </w:p>
    <w:p w14:paraId="2DD9FE98">
      <w:pPr>
        <w:pStyle w:val="480"/>
        <w:shd w:val="clear" w:color="auto" w:fill="auto"/>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p>
    <w:p w14:paraId="3ECFD4D6">
      <w:pPr>
        <w:pStyle w:val="480"/>
        <w:shd w:val="clear" w:color="auto" w:fill="auto"/>
        <w:spacing w:line="480" w:lineRule="exact"/>
        <w:ind w:firstLine="480"/>
        <w:rPr>
          <w:rFonts w:hint="eastAsia" w:eastAsia="仿宋_GB2312"/>
          <w:color w:val="auto"/>
          <w:sz w:val="24"/>
          <w:highlight w:val="none"/>
        </w:rPr>
      </w:pPr>
      <w:r>
        <w:rPr>
          <w:rFonts w:eastAsia="仿宋_GB2312"/>
          <w:color w:val="auto"/>
          <w:sz w:val="24"/>
          <w:highlight w:val="none"/>
        </w:rPr>
        <w:t>特此证明。</w:t>
      </w:r>
    </w:p>
    <w:p w14:paraId="206FD2D8">
      <w:pPr>
        <w:pStyle w:val="608"/>
        <w:shd w:val="clear" w:color="auto" w:fill="auto"/>
        <w:spacing w:line="600" w:lineRule="exact"/>
        <w:rPr>
          <w:rFonts w:hint="eastAsia" w:ascii="仿宋_GB2312" w:eastAsia="仿宋_GB2312"/>
          <w:b/>
          <w:color w:val="auto"/>
          <w:sz w:val="24"/>
          <w:highlight w:val="none"/>
        </w:rPr>
      </w:pPr>
      <w:r>
        <w:rPr>
          <w:rFonts w:hint="eastAsia" w:ascii="仿宋_GB2312" w:eastAsia="仿宋_GB2312"/>
          <w:b/>
          <w:color w:val="auto"/>
          <w:sz w:val="24"/>
          <w:highlight w:val="none"/>
        </w:rPr>
        <w:t>（法定代表人出席开标会议的提供，未出席的可不提供。附法定代表人身份证、扫描件。）</w:t>
      </w:r>
    </w:p>
    <w:p w14:paraId="24B6EB0E">
      <w:pPr>
        <w:pStyle w:val="480"/>
        <w:shd w:val="clear" w:color="auto" w:fill="auto"/>
        <w:spacing w:line="480" w:lineRule="exact"/>
        <w:ind w:firstLine="480"/>
        <w:rPr>
          <w:rFonts w:eastAsia="仿宋_GB2312"/>
          <w:color w:val="auto"/>
          <w:sz w:val="24"/>
          <w:highlight w:val="none"/>
        </w:rPr>
      </w:pPr>
    </w:p>
    <w:p w14:paraId="005CC2A2">
      <w:pPr>
        <w:pStyle w:val="480"/>
        <w:shd w:val="clear" w:color="auto" w:fill="auto"/>
        <w:spacing w:line="480" w:lineRule="exact"/>
        <w:jc w:val="right"/>
        <w:rPr>
          <w:rFonts w:eastAsia="仿宋_GB2312"/>
          <w:color w:val="auto"/>
          <w:sz w:val="24"/>
          <w:highlight w:val="none"/>
        </w:rPr>
      </w:pPr>
      <w:r>
        <w:rPr>
          <w:rFonts w:eastAsia="仿宋_GB2312"/>
          <w:color w:val="auto"/>
          <w:sz w:val="24"/>
          <w:highlight w:val="none"/>
        </w:rPr>
        <w:t xml:space="preserve">                       </w:t>
      </w:r>
    </w:p>
    <w:p w14:paraId="4D070E34">
      <w:pPr>
        <w:pStyle w:val="480"/>
        <w:shd w:val="clear" w:color="auto" w:fill="auto"/>
        <w:spacing w:line="480" w:lineRule="exact"/>
        <w:jc w:val="right"/>
        <w:rPr>
          <w:rFonts w:eastAsia="仿宋_GB2312"/>
          <w:color w:val="auto"/>
          <w:sz w:val="24"/>
          <w:highlight w:val="none"/>
        </w:rPr>
      </w:pPr>
    </w:p>
    <w:p w14:paraId="3BA1D10C">
      <w:pPr>
        <w:pStyle w:val="480"/>
        <w:shd w:val="clear" w:color="auto" w:fill="auto"/>
        <w:spacing w:line="480" w:lineRule="exact"/>
        <w:jc w:val="right"/>
        <w:rPr>
          <w:rFonts w:eastAsia="仿宋_GB2312"/>
          <w:color w:val="auto"/>
          <w:sz w:val="24"/>
          <w:highlight w:val="none"/>
        </w:rPr>
      </w:pPr>
    </w:p>
    <w:p w14:paraId="2B44D97A">
      <w:pPr>
        <w:pStyle w:val="608"/>
        <w:shd w:val="clear" w:color="auto" w:fill="auto"/>
        <w:spacing w:line="700" w:lineRule="exact"/>
        <w:ind w:firstLine="445"/>
        <w:jc w:val="right"/>
        <w:rPr>
          <w:rFonts w:hint="eastAsia"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（盖章）</w:t>
      </w:r>
    </w:p>
    <w:p w14:paraId="03221ECD">
      <w:pPr>
        <w:pStyle w:val="577"/>
        <w:shd w:val="clear" w:color="auto" w:fill="auto"/>
        <w:spacing w:line="560" w:lineRule="exact"/>
        <w:ind w:firstLine="424"/>
        <w:jc w:val="right"/>
        <w:rPr>
          <w:rFonts w:hint="eastAsia"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w:t>
      </w:r>
    </w:p>
    <w:p w14:paraId="547908C8">
      <w:pPr>
        <w:pStyle w:val="499"/>
        <w:shd w:val="clear" w:color="auto" w:fill="auto"/>
        <w:spacing w:line="700" w:lineRule="exact"/>
        <w:ind w:firstLine="988"/>
        <w:jc w:val="righ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273D65E1">
      <w:pPr>
        <w:pStyle w:val="577"/>
        <w:shd w:val="clear" w:color="auto" w:fill="auto"/>
        <w:spacing w:line="560" w:lineRule="exact"/>
        <w:jc w:val="center"/>
        <w:rPr>
          <w:rFonts w:ascii="仿宋_GB2312" w:eastAsia="仿宋_GB2312"/>
          <w:color w:val="auto"/>
          <w:sz w:val="24"/>
          <w:highlight w:val="none"/>
        </w:rPr>
      </w:pPr>
      <w:r>
        <w:rPr>
          <w:rFonts w:ascii="仿宋_GB2312" w:eastAsia="仿宋_GB2312"/>
          <w:color w:val="auto"/>
          <w:sz w:val="24"/>
          <w:highlight w:val="none"/>
        </w:rPr>
        <w:br w:type="page" w:clear="all"/>
      </w:r>
      <w:bookmarkStart w:id="123" w:name="_Toc406_WPSOffice_Level2"/>
    </w:p>
    <w:p w14:paraId="675386EE">
      <w:pPr>
        <w:pStyle w:val="577"/>
        <w:shd w:val="clear" w:color="auto" w:fill="auto"/>
        <w:spacing w:line="560" w:lineRule="exact"/>
        <w:jc w:val="center"/>
        <w:rPr>
          <w:rFonts w:ascii="仿宋_GB2312" w:eastAsia="仿宋_GB2312"/>
          <w:color w:val="auto"/>
          <w:sz w:val="24"/>
          <w:highlight w:val="none"/>
        </w:rPr>
      </w:pPr>
    </w:p>
    <w:p w14:paraId="5C9C9582">
      <w:pPr>
        <w:pStyle w:val="577"/>
        <w:shd w:val="clear" w:color="auto" w:fill="auto"/>
        <w:spacing w:line="560" w:lineRule="exact"/>
        <w:jc w:val="center"/>
        <w:rPr>
          <w:rFonts w:hint="eastAsia" w:ascii="宋体"/>
          <w:b/>
          <w:bCs/>
          <w:color w:val="auto"/>
          <w:sz w:val="32"/>
          <w:szCs w:val="32"/>
          <w:highlight w:val="none"/>
        </w:rPr>
      </w:pPr>
      <w:r>
        <w:rPr>
          <w:rFonts w:hint="eastAsia" w:ascii="宋体"/>
          <w:b/>
          <w:bCs/>
          <w:color w:val="auto"/>
          <w:sz w:val="32"/>
          <w:szCs w:val="32"/>
          <w:highlight w:val="none"/>
        </w:rPr>
        <w:t>法定代表人授权委托书</w:t>
      </w:r>
      <w:bookmarkEnd w:id="123"/>
    </w:p>
    <w:p w14:paraId="0BBBBDF5">
      <w:pPr>
        <w:pStyle w:val="577"/>
        <w:shd w:val="clear" w:color="auto" w:fill="auto"/>
        <w:spacing w:line="600" w:lineRule="exact"/>
        <w:rPr>
          <w:rFonts w:hint="eastAsia" w:ascii="方正大标宋简体" w:eastAsia="方正大标宋简体"/>
          <w:color w:val="auto"/>
          <w:sz w:val="32"/>
          <w:highlight w:val="none"/>
        </w:rPr>
      </w:pPr>
    </w:p>
    <w:p w14:paraId="2F7D3887">
      <w:pPr>
        <w:pStyle w:val="480"/>
        <w:shd w:val="clear" w:color="auto" w:fill="auto"/>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（采购人名称）</w:t>
      </w:r>
      <w:r>
        <w:rPr>
          <w:rFonts w:hint="eastAsia" w:ascii="仿宋_GB2312" w:eastAsia="仿宋_GB2312"/>
          <w:color w:val="auto"/>
          <w:sz w:val="24"/>
          <w:highlight w:val="none"/>
        </w:rPr>
        <w:t>：</w:t>
      </w:r>
    </w:p>
    <w:p w14:paraId="2379ACDB">
      <w:pPr>
        <w:pStyle w:val="577"/>
        <w:shd w:val="clear" w:color="auto" w:fill="auto"/>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公开招标活动的一切事宜。</w:t>
      </w:r>
    </w:p>
    <w:p w14:paraId="4303DAEE">
      <w:pPr>
        <w:pStyle w:val="577"/>
        <w:shd w:val="clear" w:color="auto" w:fill="auto"/>
        <w:spacing w:line="600" w:lineRule="exact"/>
        <w:ind w:firstLine="630"/>
        <w:rPr>
          <w:rFonts w:hint="eastAsia" w:ascii="仿宋_GB2312" w:eastAsia="仿宋_GB2312"/>
          <w:color w:val="auto"/>
          <w:sz w:val="24"/>
          <w:highlight w:val="none"/>
        </w:rPr>
      </w:pPr>
      <w:r>
        <w:rPr>
          <w:rFonts w:hint="eastAsia" w:ascii="仿宋_GB2312" w:eastAsia="仿宋_GB2312"/>
          <w:color w:val="auto"/>
          <w:sz w:val="24"/>
          <w:highlight w:val="none"/>
        </w:rPr>
        <w:t>特此授权</w:t>
      </w:r>
    </w:p>
    <w:p w14:paraId="1B771497">
      <w:pPr>
        <w:pStyle w:val="577"/>
        <w:shd w:val="clear" w:color="auto" w:fill="auto"/>
        <w:spacing w:line="560" w:lineRule="exact"/>
        <w:ind w:firstLine="480"/>
        <w:rPr>
          <w:rFonts w:hint="eastAsia" w:ascii="仿宋_GB2312" w:eastAsia="仿宋_GB2312"/>
          <w:color w:val="auto"/>
          <w:sz w:val="24"/>
          <w:highlight w:val="none"/>
        </w:rPr>
      </w:pPr>
    </w:p>
    <w:p w14:paraId="4CD921F1">
      <w:pPr>
        <w:pStyle w:val="472"/>
        <w:shd w:val="clear" w:color="auto" w:fill="auto"/>
        <w:spacing w:line="560" w:lineRule="exact"/>
        <w:ind w:firstLine="482"/>
        <w:rPr>
          <w:rFonts w:hint="eastAsia" w:ascii="仿宋_GB2312" w:eastAsia="仿宋_GB2312"/>
          <w:b/>
          <w:color w:val="auto"/>
          <w:sz w:val="24"/>
          <w:highlight w:val="none"/>
        </w:rPr>
      </w:pPr>
      <w:r>
        <w:rPr>
          <w:rFonts w:hint="eastAsia" w:ascii="仿宋_GB2312" w:eastAsia="仿宋_GB2312"/>
          <w:b/>
          <w:color w:val="auto"/>
          <w:sz w:val="24"/>
          <w:highlight w:val="none"/>
        </w:rPr>
        <w:t>（授权委托人出席开标会议的提供。附法定代表人、授权委托人身份证扫描件。如为授权委托人参加投标的，须提供开标前6个月内任意一个月投标人单位为授权委托人缴纳的社保证明材料）</w:t>
      </w:r>
    </w:p>
    <w:p w14:paraId="654F27F2">
      <w:pPr>
        <w:pStyle w:val="472"/>
        <w:shd w:val="clear" w:color="auto" w:fill="auto"/>
        <w:spacing w:line="600" w:lineRule="exact"/>
        <w:ind w:firstLine="630"/>
        <w:rPr>
          <w:rFonts w:hint="eastAsia" w:ascii="仿宋_GB2312" w:eastAsia="仿宋_GB2312"/>
          <w:b/>
          <w:color w:val="auto"/>
          <w:sz w:val="24"/>
          <w:highlight w:val="none"/>
        </w:rPr>
      </w:pPr>
    </w:p>
    <w:p w14:paraId="5221A9C8">
      <w:pPr>
        <w:pStyle w:val="577"/>
        <w:shd w:val="clear" w:color="auto" w:fill="auto"/>
        <w:spacing w:line="700" w:lineRule="exact"/>
        <w:ind w:firstLine="629"/>
        <w:jc w:val="right"/>
        <w:rPr>
          <w:rFonts w:hint="eastAsia"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（盖章）</w:t>
      </w:r>
    </w:p>
    <w:p w14:paraId="566D01EE">
      <w:pPr>
        <w:pStyle w:val="577"/>
        <w:shd w:val="clear" w:color="auto" w:fill="auto"/>
        <w:spacing w:line="700" w:lineRule="exact"/>
        <w:ind w:firstLine="629"/>
        <w:jc w:val="right"/>
        <w:rPr>
          <w:rFonts w:hint="eastAsia"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w:t>
      </w:r>
    </w:p>
    <w:p w14:paraId="48FD0336">
      <w:pPr>
        <w:pStyle w:val="577"/>
        <w:shd w:val="clear" w:color="auto" w:fill="auto"/>
        <w:spacing w:line="700" w:lineRule="exact"/>
        <w:ind w:firstLine="629"/>
        <w:jc w:val="right"/>
        <w:rPr>
          <w:rFonts w:hint="eastAsia" w:ascii="仿宋_GB2312" w:eastAsia="仿宋_GB2312"/>
          <w:color w:val="auto"/>
          <w:sz w:val="24"/>
          <w:highlight w:val="none"/>
        </w:rPr>
      </w:pPr>
      <w:r>
        <w:rPr>
          <w:rFonts w:hint="eastAsia" w:ascii="仿宋_GB2312" w:eastAsia="仿宋_GB2312"/>
          <w:color w:val="auto"/>
          <w:sz w:val="24"/>
          <w:highlight w:val="none"/>
        </w:rPr>
        <w:t>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（签字）</w:t>
      </w:r>
    </w:p>
    <w:p w14:paraId="16CA6E30">
      <w:pPr>
        <w:pStyle w:val="518"/>
        <w:shd w:val="clear" w:color="auto" w:fill="auto"/>
        <w:ind w:firstLine="720"/>
        <w:jc w:val="right"/>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63E31810">
      <w:pPr>
        <w:pStyle w:val="485"/>
        <w:shd w:val="clear" w:color="auto" w:fill="auto"/>
        <w:outlineLvl w:val="1"/>
        <w:rPr>
          <w:color w:val="auto"/>
          <w:highlight w:val="none"/>
        </w:rPr>
      </w:pPr>
      <w:r>
        <w:rPr>
          <w:color w:val="auto"/>
          <w:highlight w:val="none"/>
        </w:rPr>
        <w:br w:type="page" w:clear="all"/>
      </w:r>
      <w:bookmarkStart w:id="124" w:name="_Toc12853"/>
      <w:bookmarkStart w:id="125" w:name="_Toc514054494"/>
      <w:r>
        <w:rPr>
          <w:color w:val="auto"/>
          <w:highlight w:val="none"/>
        </w:rPr>
        <w:t>九、开标一览表</w:t>
      </w:r>
      <w:bookmarkEnd w:id="124"/>
      <w:bookmarkEnd w:id="125"/>
    </w:p>
    <w:p w14:paraId="78274BAD">
      <w:pPr>
        <w:pStyle w:val="485"/>
        <w:shd w:val="clear" w:color="auto" w:fill="auto"/>
        <w:spacing w:line="360" w:lineRule="auto"/>
        <w:outlineLvl w:val="1"/>
        <w:rPr>
          <w:rFonts w:ascii="仿宋_GB2312" w:hAnsi="Times New Roman" w:eastAsia="仿宋_GB2312"/>
          <w:b w:val="0"/>
          <w:color w:val="auto"/>
          <w:sz w:val="24"/>
          <w:szCs w:val="20"/>
          <w:highlight w:val="none"/>
        </w:rPr>
      </w:pPr>
      <w:r>
        <w:rPr>
          <w:rFonts w:hint="eastAsia" w:ascii="仿宋_GB2312" w:hAnsi="Times New Roman" w:eastAsia="仿宋_GB2312"/>
          <w:b w:val="0"/>
          <w:color w:val="auto"/>
          <w:sz w:val="24"/>
          <w:szCs w:val="20"/>
          <w:highlight w:val="none"/>
          <w:lang w:val="en-US" w:eastAsia="zh-CN"/>
        </w:rPr>
        <w:t>项目编号：</w:t>
      </w:r>
    </w:p>
    <w:p w14:paraId="4BD2DD72">
      <w:pPr>
        <w:pStyle w:val="485"/>
        <w:shd w:val="clear" w:color="auto" w:fill="auto"/>
        <w:spacing w:line="360" w:lineRule="auto"/>
        <w:outlineLvl w:val="1"/>
        <w:rPr>
          <w:rFonts w:ascii="仿宋_GB2312" w:hAnsi="Times New Roman" w:eastAsia="仿宋_GB2312"/>
          <w:b w:val="0"/>
          <w:color w:val="auto"/>
          <w:sz w:val="24"/>
          <w:szCs w:val="20"/>
          <w:highlight w:val="none"/>
        </w:rPr>
      </w:pPr>
      <w:r>
        <w:rPr>
          <w:rFonts w:hint="eastAsia" w:ascii="仿宋_GB2312" w:hAnsi="Times New Roman" w:eastAsia="仿宋_GB2312"/>
          <w:b w:val="0"/>
          <w:color w:val="auto"/>
          <w:sz w:val="24"/>
          <w:szCs w:val="20"/>
          <w:highlight w:val="none"/>
          <w:lang w:val="en-US" w:eastAsia="zh-CN"/>
        </w:rPr>
        <w:t>项目名称：</w:t>
      </w:r>
    </w:p>
    <w:p w14:paraId="0CF0945B">
      <w:pPr>
        <w:pStyle w:val="341"/>
        <w:shd w:val="clear" w:color="auto" w:fill="auto"/>
        <w:spacing w:line="360" w:lineRule="auto"/>
        <w:rPr>
          <w:rFonts w:ascii="仿宋_GB2312" w:eastAsia="仿宋_GB2312"/>
          <w:color w:val="auto"/>
          <w:szCs w:val="20"/>
          <w:highlight w:val="none"/>
        </w:rPr>
      </w:pPr>
      <w:r>
        <w:rPr>
          <w:rFonts w:hint="eastAsia" w:ascii="仿宋_GB2312" w:eastAsia="仿宋_GB2312"/>
          <w:color w:val="auto"/>
          <w:szCs w:val="20"/>
          <w:highlight w:val="none"/>
          <w:lang w:val="en-US" w:eastAsia="zh-CN"/>
        </w:rPr>
        <w:t>包号：第</w:t>
      </w:r>
      <w:r>
        <w:rPr>
          <w:rFonts w:hint="eastAsia" w:ascii="仿宋_GB2312" w:eastAsia="仿宋_GB2312"/>
          <w:color w:val="auto"/>
          <w:szCs w:val="20"/>
          <w:highlight w:val="none"/>
          <w:u w:val="single"/>
          <w:lang w:val="en-US" w:eastAsia="zh-CN"/>
        </w:rPr>
        <w:t xml:space="preserve">   </w:t>
      </w:r>
      <w:r>
        <w:rPr>
          <w:rFonts w:hint="eastAsia" w:ascii="仿宋_GB2312" w:eastAsia="仿宋_GB2312"/>
          <w:color w:val="auto"/>
          <w:szCs w:val="20"/>
          <w:highlight w:val="none"/>
          <w:lang w:val="en-US" w:eastAsia="zh-CN"/>
        </w:rPr>
        <w:t>包</w:t>
      </w:r>
    </w:p>
    <w:tbl>
      <w:tblPr>
        <w:tblStyle w:val="31"/>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4312"/>
        <w:gridCol w:w="3623"/>
      </w:tblGrid>
      <w:tr w14:paraId="048BA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19" w:hRule="atLeast"/>
          <w:tblHeader/>
        </w:trPr>
        <w:tc>
          <w:tcPr>
            <w:tcW w:w="4312" w:type="dxa"/>
            <w:noWrap w:val="0"/>
            <w:tcMar>
              <w:top w:w="100" w:type="dxa"/>
              <w:bottom w:w="100" w:type="dxa"/>
            </w:tcMar>
            <w:vAlign w:val="center"/>
          </w:tcPr>
          <w:p w14:paraId="79213FCE">
            <w:pPr>
              <w:pStyle w:val="341"/>
              <w:shd w:val="clear" w:color="auto" w:fill="auto"/>
              <w:rPr>
                <w:rFonts w:hint="eastAsia" w:ascii="宋体" w:hAnsi="宋体" w:eastAsia="宋体" w:cs="宋体"/>
                <w:color w:val="auto"/>
                <w:highlight w:val="none"/>
              </w:rPr>
            </w:pPr>
            <w:r>
              <w:rPr>
                <w:rFonts w:hint="eastAsia" w:ascii="宋体" w:hAnsi="宋体" w:eastAsia="宋体" w:cs="宋体"/>
                <w:b/>
                <w:color w:val="auto"/>
                <w:highlight w:val="none"/>
              </w:rPr>
              <w:t>标题</w:t>
            </w:r>
          </w:p>
        </w:tc>
        <w:tc>
          <w:tcPr>
            <w:tcW w:w="3623" w:type="dxa"/>
            <w:noWrap w:val="0"/>
            <w:tcMar>
              <w:top w:w="100" w:type="dxa"/>
              <w:bottom w:w="100" w:type="dxa"/>
            </w:tcMar>
            <w:vAlign w:val="center"/>
          </w:tcPr>
          <w:p w14:paraId="59465C2A">
            <w:pPr>
              <w:pStyle w:val="341"/>
              <w:shd w:val="clear" w:color="auto" w:fill="auto"/>
              <w:rPr>
                <w:rFonts w:hint="eastAsia" w:ascii="宋体" w:hAnsi="宋体" w:eastAsia="宋体" w:cs="宋体"/>
                <w:b/>
                <w:color w:val="auto"/>
                <w:highlight w:val="none"/>
              </w:rPr>
            </w:pPr>
            <w:r>
              <w:rPr>
                <w:rFonts w:hint="eastAsia" w:ascii="宋体" w:hAnsi="宋体" w:eastAsia="宋体" w:cs="宋体"/>
                <w:b/>
                <w:color w:val="auto"/>
                <w:highlight w:val="none"/>
              </w:rPr>
              <w:t>内容</w:t>
            </w:r>
          </w:p>
        </w:tc>
      </w:tr>
      <w:tr w14:paraId="5CE78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147" w:hRule="atLeast"/>
          <w:tblHeader/>
        </w:trPr>
        <w:tc>
          <w:tcPr>
            <w:tcW w:w="4312" w:type="dxa"/>
            <w:noWrap w:val="0"/>
            <w:tcMar>
              <w:top w:w="100" w:type="dxa"/>
              <w:bottom w:w="100" w:type="dxa"/>
            </w:tcMar>
            <w:vAlign w:val="center"/>
          </w:tcPr>
          <w:p w14:paraId="29B6D2B0">
            <w:pPr>
              <w:pStyle w:val="341"/>
              <w:shd w:val="clear" w:color="auto" w:fill="auto"/>
              <w:rPr>
                <w:rFonts w:hint="eastAsia" w:ascii="宋体" w:hAnsi="宋体" w:eastAsia="宋体" w:cs="宋体"/>
                <w:b/>
                <w:color w:val="auto"/>
                <w:highlight w:val="none"/>
              </w:rPr>
            </w:pPr>
            <w:r>
              <w:rPr>
                <w:rFonts w:hint="eastAsia" w:ascii="宋体" w:hAnsi="宋体" w:eastAsia="宋体" w:cs="宋体"/>
                <w:b/>
                <w:color w:val="auto"/>
                <w:highlight w:val="none"/>
              </w:rPr>
              <w:t>投标总价</w:t>
            </w:r>
          </w:p>
        </w:tc>
        <w:tc>
          <w:tcPr>
            <w:tcW w:w="3623" w:type="dxa"/>
            <w:noWrap w:val="0"/>
            <w:tcMar>
              <w:top w:w="100" w:type="dxa"/>
              <w:bottom w:w="100" w:type="dxa"/>
            </w:tcMar>
            <w:vAlign w:val="center"/>
          </w:tcPr>
          <w:p w14:paraId="55217F69">
            <w:pPr>
              <w:pStyle w:val="341"/>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大写：人民币       </w:t>
            </w:r>
          </w:p>
          <w:p w14:paraId="3C59C206">
            <w:pPr>
              <w:pStyle w:val="341"/>
              <w:shd w:val="clear" w:color="auto" w:fill="auto"/>
              <w:rPr>
                <w:rFonts w:hint="eastAsia" w:ascii="宋体" w:hAnsi="宋体" w:eastAsia="宋体" w:cs="宋体"/>
                <w:color w:val="auto"/>
                <w:highlight w:val="none"/>
              </w:rPr>
            </w:pPr>
          </w:p>
          <w:p w14:paraId="7E60F4E9">
            <w:pPr>
              <w:pStyle w:val="341"/>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小写：</w:t>
            </w:r>
          </w:p>
        </w:tc>
      </w:tr>
      <w:tr w14:paraId="36BD0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797" w:hRule="atLeast"/>
          <w:tblHeader/>
        </w:trPr>
        <w:tc>
          <w:tcPr>
            <w:tcW w:w="4312" w:type="dxa"/>
            <w:noWrap w:val="0"/>
            <w:tcMar>
              <w:top w:w="100" w:type="dxa"/>
              <w:bottom w:w="100" w:type="dxa"/>
            </w:tcMar>
            <w:vAlign w:val="center"/>
          </w:tcPr>
          <w:p w14:paraId="1540E9CB">
            <w:pPr>
              <w:pStyle w:val="341"/>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3623" w:type="dxa"/>
            <w:noWrap w:val="0"/>
            <w:tcMar>
              <w:top w:w="100" w:type="dxa"/>
              <w:bottom w:w="100" w:type="dxa"/>
            </w:tcMar>
            <w:vAlign w:val="center"/>
          </w:tcPr>
          <w:p w14:paraId="6ADE3F9D">
            <w:pPr>
              <w:pStyle w:val="341"/>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天</w:t>
            </w:r>
          </w:p>
        </w:tc>
      </w:tr>
      <w:tr w14:paraId="720AD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94" w:hRule="atLeast"/>
          <w:tblHeader/>
        </w:trPr>
        <w:tc>
          <w:tcPr>
            <w:tcW w:w="4312" w:type="dxa"/>
            <w:noWrap w:val="0"/>
            <w:tcMar>
              <w:top w:w="100" w:type="dxa"/>
              <w:bottom w:w="100" w:type="dxa"/>
            </w:tcMar>
            <w:vAlign w:val="center"/>
          </w:tcPr>
          <w:p w14:paraId="6359A0A4">
            <w:pPr>
              <w:pStyle w:val="341"/>
              <w:shd w:val="clear" w:color="auto" w:fill="auto"/>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投标</w:t>
            </w:r>
            <w:r>
              <w:rPr>
                <w:rFonts w:hint="eastAsia" w:ascii="宋体" w:hAnsi="宋体" w:eastAsia="宋体" w:cs="宋体"/>
                <w:b/>
                <w:bCs/>
                <w:color w:val="auto"/>
                <w:highlight w:val="none"/>
              </w:rPr>
              <w:t>货物是否</w:t>
            </w:r>
            <w:r>
              <w:rPr>
                <w:rFonts w:hint="eastAsia" w:ascii="宋体" w:hAnsi="宋体" w:eastAsia="宋体" w:cs="宋体"/>
                <w:b/>
                <w:bCs/>
                <w:color w:val="auto"/>
                <w:highlight w:val="none"/>
                <w:lang w:val="en-US" w:eastAsia="zh-CN"/>
              </w:rPr>
              <w:t>全部为</w:t>
            </w:r>
            <w:r>
              <w:rPr>
                <w:rFonts w:hint="eastAsia" w:ascii="宋体" w:hAnsi="宋体" w:eastAsia="宋体" w:cs="宋体"/>
                <w:b/>
                <w:bCs/>
                <w:color w:val="auto"/>
                <w:highlight w:val="none"/>
                <w:lang w:eastAsia="zh-CN"/>
              </w:rPr>
              <w:t>小微型企业</w:t>
            </w:r>
            <w:r>
              <w:rPr>
                <w:rFonts w:hint="eastAsia" w:ascii="宋体" w:hAnsi="宋体" w:eastAsia="宋体" w:cs="宋体"/>
                <w:b/>
                <w:bCs/>
                <w:color w:val="auto"/>
                <w:highlight w:val="none"/>
                <w:lang w:val="en-US" w:eastAsia="zh-CN"/>
              </w:rPr>
              <w:t>或监狱企业或残疾人福利性单位制造的货物</w:t>
            </w:r>
          </w:p>
        </w:tc>
        <w:tc>
          <w:tcPr>
            <w:tcW w:w="3623" w:type="dxa"/>
            <w:noWrap w:val="0"/>
            <w:tcMar>
              <w:top w:w="100" w:type="dxa"/>
              <w:bottom w:w="100" w:type="dxa"/>
            </w:tcMar>
            <w:vAlign w:val="center"/>
          </w:tcPr>
          <w:p w14:paraId="78A3B19C">
            <w:pPr>
              <w:pStyle w:val="341"/>
              <w:shd w:val="clear" w:color="auto" w:fill="auto"/>
              <w:rPr>
                <w:rFonts w:hint="eastAsia" w:ascii="宋体" w:hAnsi="宋体" w:eastAsia="宋体" w:cs="宋体"/>
                <w:color w:val="auto"/>
                <w:highlight w:val="none"/>
              </w:rPr>
            </w:pPr>
          </w:p>
        </w:tc>
      </w:tr>
      <w:tr w14:paraId="1D20D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19" w:hRule="atLeast"/>
          <w:tblHeader/>
        </w:trPr>
        <w:tc>
          <w:tcPr>
            <w:tcW w:w="4312" w:type="dxa"/>
            <w:noWrap w:val="0"/>
            <w:tcMar>
              <w:top w:w="100" w:type="dxa"/>
              <w:bottom w:w="100" w:type="dxa"/>
            </w:tcMar>
            <w:vAlign w:val="center"/>
          </w:tcPr>
          <w:p w14:paraId="61DFAD75">
            <w:pPr>
              <w:pStyle w:val="341"/>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lang w:eastAsia="zh-CN"/>
              </w:rPr>
              <w:t>是否为环保节能产品</w:t>
            </w:r>
          </w:p>
        </w:tc>
        <w:tc>
          <w:tcPr>
            <w:tcW w:w="3623" w:type="dxa"/>
            <w:noWrap w:val="0"/>
            <w:tcMar>
              <w:top w:w="100" w:type="dxa"/>
              <w:bottom w:w="100" w:type="dxa"/>
            </w:tcMar>
            <w:vAlign w:val="center"/>
          </w:tcPr>
          <w:p w14:paraId="192876F0">
            <w:pPr>
              <w:pStyle w:val="341"/>
              <w:shd w:val="clear" w:color="auto" w:fill="auto"/>
              <w:rPr>
                <w:rFonts w:hint="eastAsia" w:ascii="宋体" w:hAnsi="宋体" w:eastAsia="宋体" w:cs="宋体"/>
                <w:color w:val="auto"/>
                <w:highlight w:val="none"/>
              </w:rPr>
            </w:pPr>
          </w:p>
        </w:tc>
      </w:tr>
      <w:tr w14:paraId="7D604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24" w:hRule="atLeast"/>
          <w:tblHeader/>
        </w:trPr>
        <w:tc>
          <w:tcPr>
            <w:tcW w:w="4312" w:type="dxa"/>
            <w:noWrap w:val="0"/>
            <w:tcMar>
              <w:top w:w="100" w:type="dxa"/>
              <w:bottom w:w="100" w:type="dxa"/>
            </w:tcMar>
            <w:vAlign w:val="center"/>
          </w:tcPr>
          <w:p w14:paraId="79157612">
            <w:pPr>
              <w:pStyle w:val="341"/>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备注（品牌、</w:t>
            </w:r>
            <w:r>
              <w:rPr>
                <w:rFonts w:hint="eastAsia" w:ascii="宋体" w:hAnsi="宋体" w:eastAsia="宋体" w:cs="宋体"/>
                <w:color w:val="auto"/>
                <w:highlight w:val="none"/>
                <w:lang w:val="en-US" w:eastAsia="zh-CN"/>
              </w:rPr>
              <w:t>型号、</w:t>
            </w:r>
            <w:r>
              <w:rPr>
                <w:rFonts w:hint="eastAsia" w:ascii="宋体" w:hAnsi="宋体" w:eastAsia="宋体" w:cs="宋体"/>
                <w:color w:val="auto"/>
                <w:highlight w:val="none"/>
              </w:rPr>
              <w:t>国别）</w:t>
            </w:r>
          </w:p>
        </w:tc>
        <w:tc>
          <w:tcPr>
            <w:tcW w:w="3623" w:type="dxa"/>
            <w:noWrap w:val="0"/>
            <w:tcMar>
              <w:top w:w="100" w:type="dxa"/>
              <w:bottom w:w="100" w:type="dxa"/>
            </w:tcMar>
            <w:vAlign w:val="center"/>
          </w:tcPr>
          <w:p w14:paraId="70DB8E29">
            <w:pPr>
              <w:pStyle w:val="341"/>
              <w:shd w:val="clear" w:color="auto" w:fill="auto"/>
              <w:rPr>
                <w:rFonts w:hint="eastAsia" w:ascii="宋体" w:hAnsi="宋体" w:eastAsia="宋体" w:cs="宋体"/>
                <w:color w:val="auto"/>
                <w:highlight w:val="none"/>
              </w:rPr>
            </w:pPr>
          </w:p>
        </w:tc>
      </w:tr>
    </w:tbl>
    <w:p w14:paraId="460CCAAB">
      <w:pPr>
        <w:pStyle w:val="345"/>
        <w:shd w:val="clear" w:color="auto" w:fill="auto"/>
        <w:spacing w:line="7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771D6A9A">
      <w:pPr>
        <w:pStyle w:val="345"/>
        <w:shd w:val="clear" w:color="auto" w:fill="auto"/>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28015C8C">
      <w:pPr>
        <w:widowControl/>
        <w:shd w:val="clear" w:color="auto" w:fill="auto"/>
        <w:spacing w:line="360" w:lineRule="auto"/>
        <w:jc w:val="left"/>
        <w:rPr>
          <w:rFonts w:hint="eastAsia" w:ascii="宋体" w:hAnsi="宋体" w:cs="Arial"/>
          <w:color w:val="auto"/>
          <w:highlight w:val="none"/>
        </w:rPr>
      </w:pPr>
    </w:p>
    <w:p w14:paraId="064175E2">
      <w:pPr>
        <w:widowControl/>
        <w:shd w:val="clear" w:color="auto" w:fill="auto"/>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投标货物是否全部由小微型企业或监狱企业或残疾人福利性单位制造的货物”栏内填写“是”或“否”。如填写“是”，投标人应按招标文件要求提供《中小企业声明函》、《残疾人福利性单位声明函》、《属于监狱企业的证明文件》。如未按要求提供、填写，或相关内容表述不清前后矛盾的，不享受价格扣除。</w:t>
      </w:r>
    </w:p>
    <w:p w14:paraId="57B047C1">
      <w:pPr>
        <w:pStyle w:val="506"/>
        <w:shd w:val="clear" w:color="auto" w:fill="auto"/>
        <w:outlineLvl w:val="1"/>
        <w:rPr>
          <w:color w:val="auto"/>
          <w:highlight w:val="none"/>
        </w:rPr>
      </w:pPr>
      <w:r>
        <w:rPr>
          <w:color w:val="auto"/>
          <w:highlight w:val="none"/>
        </w:rPr>
        <w:br w:type="page" w:clear="all"/>
      </w:r>
      <w:bookmarkStart w:id="126" w:name="_Toc514054495"/>
      <w:bookmarkStart w:id="127" w:name="_Toc8851"/>
      <w:r>
        <w:rPr>
          <w:color w:val="auto"/>
          <w:highlight w:val="none"/>
        </w:rPr>
        <w:t>十、明细报价表</w:t>
      </w:r>
      <w:bookmarkEnd w:id="126"/>
      <w:bookmarkEnd w:id="127"/>
    </w:p>
    <w:tbl>
      <w:tblPr>
        <w:tblStyle w:val="31"/>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1793"/>
        <w:gridCol w:w="2200"/>
        <w:gridCol w:w="1103"/>
        <w:gridCol w:w="962"/>
        <w:gridCol w:w="1030"/>
        <w:gridCol w:w="1980"/>
      </w:tblGrid>
      <w:tr w14:paraId="31FC5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656" w:type="dxa"/>
            <w:noWrap w:val="0"/>
            <w:vAlign w:val="center"/>
          </w:tcPr>
          <w:p w14:paraId="18238026">
            <w:pPr>
              <w:pStyle w:val="351"/>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793" w:type="dxa"/>
            <w:noWrap w:val="0"/>
            <w:vAlign w:val="center"/>
          </w:tcPr>
          <w:p w14:paraId="5D05F66F">
            <w:pPr>
              <w:pStyle w:val="351"/>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货物名称</w:t>
            </w:r>
          </w:p>
        </w:tc>
        <w:tc>
          <w:tcPr>
            <w:tcW w:w="2200" w:type="dxa"/>
            <w:noWrap w:val="0"/>
            <w:vAlign w:val="center"/>
          </w:tcPr>
          <w:p w14:paraId="649D0258">
            <w:pPr>
              <w:pStyle w:val="351"/>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品牌.型号.产地</w:t>
            </w:r>
          </w:p>
        </w:tc>
        <w:tc>
          <w:tcPr>
            <w:tcW w:w="1103" w:type="dxa"/>
            <w:noWrap w:val="0"/>
            <w:vAlign w:val="center"/>
          </w:tcPr>
          <w:p w14:paraId="563D1D34">
            <w:pPr>
              <w:pStyle w:val="351"/>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单价</w:t>
            </w:r>
          </w:p>
          <w:p w14:paraId="756DCF4F">
            <w:pPr>
              <w:pStyle w:val="351"/>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（元）</w:t>
            </w:r>
          </w:p>
        </w:tc>
        <w:tc>
          <w:tcPr>
            <w:tcW w:w="962" w:type="dxa"/>
            <w:noWrap w:val="0"/>
            <w:vAlign w:val="center"/>
          </w:tcPr>
          <w:p w14:paraId="08597133">
            <w:pPr>
              <w:pStyle w:val="351"/>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数量</w:t>
            </w:r>
          </w:p>
        </w:tc>
        <w:tc>
          <w:tcPr>
            <w:tcW w:w="1030" w:type="dxa"/>
            <w:noWrap w:val="0"/>
            <w:vAlign w:val="center"/>
          </w:tcPr>
          <w:p w14:paraId="0B5A8331">
            <w:pPr>
              <w:pStyle w:val="351"/>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合价</w:t>
            </w:r>
          </w:p>
          <w:p w14:paraId="4D391615">
            <w:pPr>
              <w:pStyle w:val="351"/>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（元）</w:t>
            </w:r>
          </w:p>
        </w:tc>
        <w:tc>
          <w:tcPr>
            <w:tcW w:w="1980" w:type="dxa"/>
            <w:noWrap w:val="0"/>
            <w:vAlign w:val="center"/>
          </w:tcPr>
          <w:p w14:paraId="0694A83E">
            <w:pPr>
              <w:pStyle w:val="351"/>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4C102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656" w:type="dxa"/>
            <w:noWrap w:val="0"/>
            <w:vAlign w:val="top"/>
          </w:tcPr>
          <w:p w14:paraId="406FA423">
            <w:pPr>
              <w:pStyle w:val="351"/>
              <w:widowControl/>
              <w:shd w:val="clear" w:color="auto" w:fill="auto"/>
              <w:spacing w:line="560" w:lineRule="exact"/>
              <w:rPr>
                <w:rFonts w:hint="eastAsia" w:ascii="仿宋_GB2312" w:eastAsia="仿宋_GB2312"/>
                <w:color w:val="auto"/>
                <w:sz w:val="28"/>
                <w:szCs w:val="28"/>
                <w:highlight w:val="none"/>
              </w:rPr>
            </w:pPr>
          </w:p>
        </w:tc>
        <w:tc>
          <w:tcPr>
            <w:tcW w:w="1793" w:type="dxa"/>
            <w:noWrap w:val="0"/>
            <w:vAlign w:val="top"/>
          </w:tcPr>
          <w:p w14:paraId="78F08450">
            <w:pPr>
              <w:pStyle w:val="351"/>
              <w:widowControl/>
              <w:shd w:val="clear" w:color="auto" w:fill="auto"/>
              <w:spacing w:line="560" w:lineRule="exact"/>
              <w:jc w:val="center"/>
              <w:rPr>
                <w:rFonts w:hint="eastAsia" w:ascii="仿宋_GB2312" w:eastAsia="仿宋_GB2312"/>
                <w:color w:val="auto"/>
                <w:sz w:val="24"/>
                <w:highlight w:val="none"/>
              </w:rPr>
            </w:pPr>
          </w:p>
        </w:tc>
        <w:tc>
          <w:tcPr>
            <w:tcW w:w="2200" w:type="dxa"/>
            <w:noWrap w:val="0"/>
            <w:vAlign w:val="top"/>
          </w:tcPr>
          <w:p w14:paraId="5BC77BC2">
            <w:pPr>
              <w:pStyle w:val="351"/>
              <w:widowControl/>
              <w:shd w:val="clear" w:color="auto" w:fill="auto"/>
              <w:spacing w:line="560" w:lineRule="exact"/>
              <w:jc w:val="center"/>
              <w:rPr>
                <w:rFonts w:hint="eastAsia" w:ascii="仿宋_GB2312" w:eastAsia="仿宋_GB2312"/>
                <w:color w:val="auto"/>
                <w:sz w:val="24"/>
                <w:highlight w:val="none"/>
              </w:rPr>
            </w:pPr>
          </w:p>
        </w:tc>
        <w:tc>
          <w:tcPr>
            <w:tcW w:w="1103" w:type="dxa"/>
            <w:noWrap w:val="0"/>
            <w:vAlign w:val="center"/>
          </w:tcPr>
          <w:p w14:paraId="38A6274B">
            <w:pPr>
              <w:pStyle w:val="351"/>
              <w:shd w:val="clear" w:color="auto" w:fill="auto"/>
              <w:spacing w:line="560" w:lineRule="exact"/>
              <w:jc w:val="center"/>
              <w:rPr>
                <w:rFonts w:hint="eastAsia" w:ascii="仿宋_GB2312" w:eastAsia="仿宋_GB2312"/>
                <w:color w:val="auto"/>
                <w:sz w:val="24"/>
                <w:highlight w:val="none"/>
              </w:rPr>
            </w:pPr>
          </w:p>
        </w:tc>
        <w:tc>
          <w:tcPr>
            <w:tcW w:w="962" w:type="dxa"/>
            <w:noWrap w:val="0"/>
            <w:vAlign w:val="top"/>
          </w:tcPr>
          <w:p w14:paraId="7D723338">
            <w:pPr>
              <w:pStyle w:val="351"/>
              <w:widowControl/>
              <w:shd w:val="clear" w:color="auto" w:fill="auto"/>
              <w:spacing w:line="560" w:lineRule="exact"/>
              <w:jc w:val="center"/>
              <w:rPr>
                <w:rFonts w:hint="eastAsia" w:ascii="仿宋_GB2312" w:eastAsia="仿宋_GB2312"/>
                <w:color w:val="auto"/>
                <w:sz w:val="24"/>
                <w:highlight w:val="none"/>
              </w:rPr>
            </w:pPr>
          </w:p>
        </w:tc>
        <w:tc>
          <w:tcPr>
            <w:tcW w:w="1030" w:type="dxa"/>
            <w:noWrap w:val="0"/>
            <w:vAlign w:val="center"/>
          </w:tcPr>
          <w:p w14:paraId="132D90F1">
            <w:pPr>
              <w:pStyle w:val="351"/>
              <w:shd w:val="clear" w:color="auto" w:fill="auto"/>
              <w:spacing w:line="560" w:lineRule="exact"/>
              <w:jc w:val="center"/>
              <w:rPr>
                <w:rFonts w:hint="eastAsia" w:ascii="仿宋_GB2312" w:eastAsia="仿宋_GB2312"/>
                <w:color w:val="auto"/>
                <w:sz w:val="24"/>
                <w:highlight w:val="none"/>
              </w:rPr>
            </w:pPr>
          </w:p>
        </w:tc>
        <w:tc>
          <w:tcPr>
            <w:tcW w:w="1980" w:type="dxa"/>
            <w:noWrap w:val="0"/>
            <w:vAlign w:val="center"/>
          </w:tcPr>
          <w:p w14:paraId="2B38CFC1">
            <w:pPr>
              <w:pStyle w:val="351"/>
              <w:shd w:val="clear" w:color="auto" w:fill="auto"/>
              <w:spacing w:line="560" w:lineRule="exact"/>
              <w:jc w:val="center"/>
              <w:rPr>
                <w:rFonts w:hint="eastAsia" w:ascii="仿宋_GB2312" w:eastAsia="仿宋_GB2312"/>
                <w:color w:val="auto"/>
                <w:sz w:val="24"/>
                <w:highlight w:val="none"/>
              </w:rPr>
            </w:pPr>
          </w:p>
        </w:tc>
      </w:tr>
      <w:tr w14:paraId="2A50A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noWrap w:val="0"/>
            <w:vAlign w:val="top"/>
          </w:tcPr>
          <w:p w14:paraId="20E68770">
            <w:pPr>
              <w:pStyle w:val="351"/>
              <w:widowControl/>
              <w:shd w:val="clear" w:color="auto" w:fill="auto"/>
              <w:spacing w:line="560" w:lineRule="exact"/>
              <w:rPr>
                <w:rFonts w:hint="eastAsia" w:ascii="仿宋_GB2312" w:eastAsia="仿宋_GB2312"/>
                <w:color w:val="auto"/>
                <w:sz w:val="28"/>
                <w:szCs w:val="28"/>
                <w:highlight w:val="none"/>
              </w:rPr>
            </w:pPr>
          </w:p>
        </w:tc>
        <w:tc>
          <w:tcPr>
            <w:tcW w:w="1793" w:type="dxa"/>
            <w:noWrap w:val="0"/>
            <w:vAlign w:val="top"/>
          </w:tcPr>
          <w:p w14:paraId="0B5D1F2A">
            <w:pPr>
              <w:pStyle w:val="351"/>
              <w:widowControl/>
              <w:shd w:val="clear" w:color="auto" w:fill="auto"/>
              <w:spacing w:line="560" w:lineRule="exact"/>
              <w:jc w:val="center"/>
              <w:rPr>
                <w:rFonts w:hint="eastAsia" w:ascii="仿宋_GB2312" w:eastAsia="仿宋_GB2312"/>
                <w:color w:val="auto"/>
                <w:sz w:val="24"/>
                <w:highlight w:val="none"/>
              </w:rPr>
            </w:pPr>
          </w:p>
        </w:tc>
        <w:tc>
          <w:tcPr>
            <w:tcW w:w="2200" w:type="dxa"/>
            <w:noWrap w:val="0"/>
            <w:vAlign w:val="top"/>
          </w:tcPr>
          <w:p w14:paraId="6B6EC693">
            <w:pPr>
              <w:pStyle w:val="351"/>
              <w:widowControl/>
              <w:shd w:val="clear" w:color="auto" w:fill="auto"/>
              <w:spacing w:line="560" w:lineRule="exact"/>
              <w:jc w:val="center"/>
              <w:rPr>
                <w:rFonts w:hint="eastAsia" w:ascii="仿宋_GB2312" w:eastAsia="仿宋_GB2312"/>
                <w:color w:val="auto"/>
                <w:sz w:val="24"/>
                <w:highlight w:val="none"/>
              </w:rPr>
            </w:pPr>
          </w:p>
        </w:tc>
        <w:tc>
          <w:tcPr>
            <w:tcW w:w="1103" w:type="dxa"/>
            <w:noWrap w:val="0"/>
            <w:vAlign w:val="center"/>
          </w:tcPr>
          <w:p w14:paraId="710518FB">
            <w:pPr>
              <w:pStyle w:val="351"/>
              <w:shd w:val="clear" w:color="auto" w:fill="auto"/>
              <w:spacing w:line="560" w:lineRule="exact"/>
              <w:jc w:val="center"/>
              <w:rPr>
                <w:rFonts w:hint="eastAsia" w:ascii="仿宋_GB2312" w:eastAsia="仿宋_GB2312"/>
                <w:color w:val="auto"/>
                <w:sz w:val="24"/>
                <w:highlight w:val="none"/>
              </w:rPr>
            </w:pPr>
          </w:p>
        </w:tc>
        <w:tc>
          <w:tcPr>
            <w:tcW w:w="962" w:type="dxa"/>
            <w:noWrap w:val="0"/>
            <w:vAlign w:val="top"/>
          </w:tcPr>
          <w:p w14:paraId="7B13ABD0">
            <w:pPr>
              <w:pStyle w:val="351"/>
              <w:widowControl/>
              <w:shd w:val="clear" w:color="auto" w:fill="auto"/>
              <w:spacing w:line="560" w:lineRule="exact"/>
              <w:jc w:val="center"/>
              <w:rPr>
                <w:rFonts w:hint="eastAsia" w:ascii="仿宋_GB2312" w:eastAsia="仿宋_GB2312"/>
                <w:color w:val="auto"/>
                <w:sz w:val="24"/>
                <w:highlight w:val="none"/>
              </w:rPr>
            </w:pPr>
          </w:p>
        </w:tc>
        <w:tc>
          <w:tcPr>
            <w:tcW w:w="1030" w:type="dxa"/>
            <w:noWrap w:val="0"/>
            <w:vAlign w:val="center"/>
          </w:tcPr>
          <w:p w14:paraId="01D55A92">
            <w:pPr>
              <w:pStyle w:val="351"/>
              <w:shd w:val="clear" w:color="auto" w:fill="auto"/>
              <w:spacing w:line="560" w:lineRule="exact"/>
              <w:jc w:val="center"/>
              <w:rPr>
                <w:rFonts w:hint="eastAsia" w:ascii="仿宋_GB2312" w:eastAsia="仿宋_GB2312"/>
                <w:color w:val="auto"/>
                <w:sz w:val="24"/>
                <w:highlight w:val="none"/>
              </w:rPr>
            </w:pPr>
          </w:p>
        </w:tc>
        <w:tc>
          <w:tcPr>
            <w:tcW w:w="1980" w:type="dxa"/>
            <w:noWrap w:val="0"/>
            <w:vAlign w:val="center"/>
          </w:tcPr>
          <w:p w14:paraId="32CAB693">
            <w:pPr>
              <w:pStyle w:val="351"/>
              <w:shd w:val="clear" w:color="auto" w:fill="auto"/>
              <w:spacing w:line="560" w:lineRule="exact"/>
              <w:jc w:val="center"/>
              <w:rPr>
                <w:rFonts w:hint="eastAsia" w:ascii="仿宋_GB2312" w:eastAsia="仿宋_GB2312"/>
                <w:color w:val="auto"/>
                <w:sz w:val="24"/>
                <w:highlight w:val="none"/>
              </w:rPr>
            </w:pPr>
          </w:p>
        </w:tc>
      </w:tr>
      <w:tr w14:paraId="6551B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noWrap w:val="0"/>
            <w:vAlign w:val="top"/>
          </w:tcPr>
          <w:p w14:paraId="4AD91F3F">
            <w:pPr>
              <w:pStyle w:val="351"/>
              <w:widowControl/>
              <w:shd w:val="clear" w:color="auto" w:fill="auto"/>
              <w:spacing w:line="560" w:lineRule="exact"/>
              <w:rPr>
                <w:rFonts w:hint="eastAsia" w:ascii="仿宋_GB2312" w:eastAsia="仿宋_GB2312"/>
                <w:color w:val="auto"/>
                <w:sz w:val="28"/>
                <w:szCs w:val="28"/>
                <w:highlight w:val="none"/>
              </w:rPr>
            </w:pPr>
          </w:p>
        </w:tc>
        <w:tc>
          <w:tcPr>
            <w:tcW w:w="1793" w:type="dxa"/>
            <w:noWrap w:val="0"/>
            <w:vAlign w:val="top"/>
          </w:tcPr>
          <w:p w14:paraId="6A3FA853">
            <w:pPr>
              <w:pStyle w:val="351"/>
              <w:widowControl/>
              <w:shd w:val="clear" w:color="auto" w:fill="auto"/>
              <w:spacing w:line="560" w:lineRule="exact"/>
              <w:jc w:val="center"/>
              <w:rPr>
                <w:rFonts w:hint="eastAsia" w:ascii="仿宋_GB2312" w:eastAsia="仿宋_GB2312"/>
                <w:color w:val="auto"/>
                <w:sz w:val="24"/>
                <w:highlight w:val="none"/>
              </w:rPr>
            </w:pPr>
          </w:p>
        </w:tc>
        <w:tc>
          <w:tcPr>
            <w:tcW w:w="2200" w:type="dxa"/>
            <w:noWrap w:val="0"/>
            <w:vAlign w:val="top"/>
          </w:tcPr>
          <w:p w14:paraId="614F073E">
            <w:pPr>
              <w:pStyle w:val="351"/>
              <w:widowControl/>
              <w:shd w:val="clear" w:color="auto" w:fill="auto"/>
              <w:spacing w:line="560" w:lineRule="exact"/>
              <w:jc w:val="center"/>
              <w:rPr>
                <w:rFonts w:hint="eastAsia" w:ascii="仿宋_GB2312" w:eastAsia="仿宋_GB2312"/>
                <w:color w:val="auto"/>
                <w:sz w:val="24"/>
                <w:highlight w:val="none"/>
              </w:rPr>
            </w:pPr>
          </w:p>
        </w:tc>
        <w:tc>
          <w:tcPr>
            <w:tcW w:w="1103" w:type="dxa"/>
            <w:noWrap w:val="0"/>
            <w:vAlign w:val="center"/>
          </w:tcPr>
          <w:p w14:paraId="15119A65">
            <w:pPr>
              <w:pStyle w:val="351"/>
              <w:shd w:val="clear" w:color="auto" w:fill="auto"/>
              <w:spacing w:line="560" w:lineRule="exact"/>
              <w:jc w:val="center"/>
              <w:rPr>
                <w:rFonts w:hint="eastAsia" w:ascii="仿宋_GB2312" w:eastAsia="仿宋_GB2312"/>
                <w:color w:val="auto"/>
                <w:sz w:val="24"/>
                <w:highlight w:val="none"/>
              </w:rPr>
            </w:pPr>
          </w:p>
        </w:tc>
        <w:tc>
          <w:tcPr>
            <w:tcW w:w="962" w:type="dxa"/>
            <w:noWrap w:val="0"/>
            <w:vAlign w:val="top"/>
          </w:tcPr>
          <w:p w14:paraId="7C631FC8">
            <w:pPr>
              <w:pStyle w:val="351"/>
              <w:widowControl/>
              <w:shd w:val="clear" w:color="auto" w:fill="auto"/>
              <w:spacing w:line="560" w:lineRule="exact"/>
              <w:jc w:val="center"/>
              <w:rPr>
                <w:rFonts w:hint="eastAsia" w:ascii="仿宋_GB2312" w:eastAsia="仿宋_GB2312"/>
                <w:color w:val="auto"/>
                <w:sz w:val="24"/>
                <w:highlight w:val="none"/>
              </w:rPr>
            </w:pPr>
          </w:p>
        </w:tc>
        <w:tc>
          <w:tcPr>
            <w:tcW w:w="1030" w:type="dxa"/>
            <w:noWrap w:val="0"/>
            <w:vAlign w:val="center"/>
          </w:tcPr>
          <w:p w14:paraId="649071A9">
            <w:pPr>
              <w:pStyle w:val="351"/>
              <w:shd w:val="clear" w:color="auto" w:fill="auto"/>
              <w:spacing w:line="560" w:lineRule="exact"/>
              <w:jc w:val="center"/>
              <w:rPr>
                <w:rFonts w:hint="eastAsia" w:ascii="仿宋_GB2312" w:eastAsia="仿宋_GB2312"/>
                <w:color w:val="auto"/>
                <w:sz w:val="24"/>
                <w:highlight w:val="none"/>
              </w:rPr>
            </w:pPr>
          </w:p>
        </w:tc>
        <w:tc>
          <w:tcPr>
            <w:tcW w:w="1980" w:type="dxa"/>
            <w:noWrap w:val="0"/>
            <w:vAlign w:val="center"/>
          </w:tcPr>
          <w:p w14:paraId="1C1B9411">
            <w:pPr>
              <w:pStyle w:val="351"/>
              <w:shd w:val="clear" w:color="auto" w:fill="auto"/>
              <w:spacing w:line="560" w:lineRule="exact"/>
              <w:jc w:val="center"/>
              <w:rPr>
                <w:rFonts w:hint="eastAsia" w:ascii="仿宋_GB2312" w:eastAsia="仿宋_GB2312"/>
                <w:color w:val="auto"/>
                <w:sz w:val="24"/>
                <w:highlight w:val="none"/>
              </w:rPr>
            </w:pPr>
          </w:p>
        </w:tc>
      </w:tr>
      <w:tr w14:paraId="111A7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noWrap w:val="0"/>
            <w:vAlign w:val="top"/>
          </w:tcPr>
          <w:p w14:paraId="22BA12C3">
            <w:pPr>
              <w:pStyle w:val="351"/>
              <w:widowControl/>
              <w:shd w:val="clear" w:color="auto" w:fill="auto"/>
              <w:spacing w:line="560" w:lineRule="exact"/>
              <w:rPr>
                <w:rFonts w:hint="eastAsia" w:ascii="仿宋_GB2312" w:eastAsia="仿宋_GB2312"/>
                <w:color w:val="auto"/>
                <w:sz w:val="28"/>
                <w:szCs w:val="28"/>
                <w:highlight w:val="none"/>
              </w:rPr>
            </w:pPr>
          </w:p>
        </w:tc>
        <w:tc>
          <w:tcPr>
            <w:tcW w:w="1793" w:type="dxa"/>
            <w:noWrap w:val="0"/>
            <w:vAlign w:val="top"/>
          </w:tcPr>
          <w:p w14:paraId="6221598D">
            <w:pPr>
              <w:pStyle w:val="351"/>
              <w:widowControl/>
              <w:shd w:val="clear" w:color="auto" w:fill="auto"/>
              <w:spacing w:line="560" w:lineRule="exact"/>
              <w:jc w:val="center"/>
              <w:rPr>
                <w:rFonts w:hint="eastAsia" w:ascii="仿宋_GB2312" w:eastAsia="仿宋_GB2312"/>
                <w:color w:val="auto"/>
                <w:sz w:val="24"/>
                <w:highlight w:val="none"/>
              </w:rPr>
            </w:pPr>
          </w:p>
        </w:tc>
        <w:tc>
          <w:tcPr>
            <w:tcW w:w="2200" w:type="dxa"/>
            <w:noWrap w:val="0"/>
            <w:vAlign w:val="top"/>
          </w:tcPr>
          <w:p w14:paraId="34AF2303">
            <w:pPr>
              <w:pStyle w:val="351"/>
              <w:widowControl/>
              <w:shd w:val="clear" w:color="auto" w:fill="auto"/>
              <w:spacing w:line="560" w:lineRule="exact"/>
              <w:jc w:val="center"/>
              <w:rPr>
                <w:rFonts w:hint="eastAsia" w:ascii="仿宋_GB2312" w:eastAsia="仿宋_GB2312"/>
                <w:color w:val="auto"/>
                <w:sz w:val="24"/>
                <w:highlight w:val="none"/>
              </w:rPr>
            </w:pPr>
          </w:p>
        </w:tc>
        <w:tc>
          <w:tcPr>
            <w:tcW w:w="1103" w:type="dxa"/>
            <w:noWrap w:val="0"/>
            <w:vAlign w:val="center"/>
          </w:tcPr>
          <w:p w14:paraId="08F153F9">
            <w:pPr>
              <w:pStyle w:val="351"/>
              <w:shd w:val="clear" w:color="auto" w:fill="auto"/>
              <w:spacing w:line="560" w:lineRule="exact"/>
              <w:jc w:val="center"/>
              <w:rPr>
                <w:rFonts w:hint="eastAsia" w:ascii="仿宋_GB2312" w:eastAsia="仿宋_GB2312"/>
                <w:color w:val="auto"/>
                <w:sz w:val="24"/>
                <w:highlight w:val="none"/>
              </w:rPr>
            </w:pPr>
          </w:p>
        </w:tc>
        <w:tc>
          <w:tcPr>
            <w:tcW w:w="962" w:type="dxa"/>
            <w:noWrap w:val="0"/>
            <w:vAlign w:val="top"/>
          </w:tcPr>
          <w:p w14:paraId="0D97CD8A">
            <w:pPr>
              <w:pStyle w:val="351"/>
              <w:widowControl/>
              <w:shd w:val="clear" w:color="auto" w:fill="auto"/>
              <w:spacing w:line="560" w:lineRule="exact"/>
              <w:jc w:val="center"/>
              <w:rPr>
                <w:rFonts w:hint="eastAsia" w:ascii="仿宋_GB2312" w:eastAsia="仿宋_GB2312"/>
                <w:color w:val="auto"/>
                <w:sz w:val="24"/>
                <w:highlight w:val="none"/>
              </w:rPr>
            </w:pPr>
          </w:p>
        </w:tc>
        <w:tc>
          <w:tcPr>
            <w:tcW w:w="1030" w:type="dxa"/>
            <w:noWrap w:val="0"/>
            <w:vAlign w:val="center"/>
          </w:tcPr>
          <w:p w14:paraId="694877FC">
            <w:pPr>
              <w:pStyle w:val="351"/>
              <w:shd w:val="clear" w:color="auto" w:fill="auto"/>
              <w:spacing w:line="560" w:lineRule="exact"/>
              <w:jc w:val="center"/>
              <w:rPr>
                <w:rFonts w:hint="eastAsia" w:ascii="仿宋_GB2312" w:eastAsia="仿宋_GB2312"/>
                <w:color w:val="auto"/>
                <w:sz w:val="24"/>
                <w:highlight w:val="none"/>
              </w:rPr>
            </w:pPr>
          </w:p>
        </w:tc>
        <w:tc>
          <w:tcPr>
            <w:tcW w:w="1980" w:type="dxa"/>
            <w:noWrap w:val="0"/>
            <w:vAlign w:val="center"/>
          </w:tcPr>
          <w:p w14:paraId="32CAD5EB">
            <w:pPr>
              <w:pStyle w:val="351"/>
              <w:shd w:val="clear" w:color="auto" w:fill="auto"/>
              <w:spacing w:line="560" w:lineRule="exact"/>
              <w:jc w:val="center"/>
              <w:rPr>
                <w:rFonts w:hint="eastAsia" w:ascii="仿宋_GB2312" w:eastAsia="仿宋_GB2312"/>
                <w:color w:val="auto"/>
                <w:sz w:val="24"/>
                <w:highlight w:val="none"/>
              </w:rPr>
            </w:pPr>
          </w:p>
        </w:tc>
      </w:tr>
      <w:tr w14:paraId="74642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656" w:type="dxa"/>
            <w:noWrap w:val="0"/>
            <w:vAlign w:val="top"/>
          </w:tcPr>
          <w:p w14:paraId="5F6A7C97">
            <w:pPr>
              <w:pStyle w:val="351"/>
              <w:widowControl/>
              <w:shd w:val="clear" w:color="auto" w:fill="auto"/>
              <w:spacing w:line="560" w:lineRule="exact"/>
              <w:rPr>
                <w:rFonts w:hint="eastAsia" w:ascii="仿宋_GB2312" w:eastAsia="仿宋_GB2312"/>
                <w:color w:val="auto"/>
                <w:sz w:val="28"/>
                <w:szCs w:val="28"/>
                <w:highlight w:val="none"/>
              </w:rPr>
            </w:pPr>
          </w:p>
        </w:tc>
        <w:tc>
          <w:tcPr>
            <w:tcW w:w="1793" w:type="dxa"/>
            <w:noWrap w:val="0"/>
            <w:vAlign w:val="top"/>
          </w:tcPr>
          <w:p w14:paraId="557ADAA6">
            <w:pPr>
              <w:pStyle w:val="351"/>
              <w:widowControl/>
              <w:shd w:val="clear" w:color="auto" w:fill="auto"/>
              <w:spacing w:line="560" w:lineRule="exact"/>
              <w:jc w:val="center"/>
              <w:rPr>
                <w:rFonts w:hint="eastAsia" w:ascii="仿宋_GB2312" w:eastAsia="仿宋_GB2312"/>
                <w:color w:val="auto"/>
                <w:sz w:val="24"/>
                <w:highlight w:val="none"/>
              </w:rPr>
            </w:pPr>
            <w:r>
              <w:rPr>
                <w:rFonts w:hint="eastAsia" w:ascii="仿宋_GB2312" w:eastAsia="仿宋_GB2312"/>
                <w:color w:val="auto"/>
                <w:sz w:val="24"/>
                <w:highlight w:val="none"/>
              </w:rPr>
              <w:t>安装调试费</w:t>
            </w:r>
          </w:p>
        </w:tc>
        <w:tc>
          <w:tcPr>
            <w:tcW w:w="2200" w:type="dxa"/>
            <w:noWrap w:val="0"/>
            <w:vAlign w:val="top"/>
          </w:tcPr>
          <w:p w14:paraId="29C14BF3">
            <w:pPr>
              <w:pStyle w:val="351"/>
              <w:widowControl/>
              <w:shd w:val="clear" w:color="auto" w:fill="auto"/>
              <w:spacing w:line="560" w:lineRule="exact"/>
              <w:jc w:val="center"/>
              <w:rPr>
                <w:rFonts w:hint="eastAsia" w:ascii="仿宋_GB2312" w:eastAsia="仿宋_GB2312"/>
                <w:color w:val="auto"/>
                <w:sz w:val="24"/>
                <w:highlight w:val="none"/>
              </w:rPr>
            </w:pPr>
          </w:p>
        </w:tc>
        <w:tc>
          <w:tcPr>
            <w:tcW w:w="1103" w:type="dxa"/>
            <w:noWrap w:val="0"/>
            <w:vAlign w:val="center"/>
          </w:tcPr>
          <w:p w14:paraId="2198DB8E">
            <w:pPr>
              <w:pStyle w:val="351"/>
              <w:shd w:val="clear" w:color="auto" w:fill="auto"/>
              <w:spacing w:line="560" w:lineRule="exact"/>
              <w:jc w:val="center"/>
              <w:rPr>
                <w:rFonts w:hint="eastAsia" w:ascii="仿宋_GB2312" w:eastAsia="仿宋_GB2312"/>
                <w:color w:val="auto"/>
                <w:sz w:val="24"/>
                <w:highlight w:val="none"/>
              </w:rPr>
            </w:pPr>
          </w:p>
        </w:tc>
        <w:tc>
          <w:tcPr>
            <w:tcW w:w="962" w:type="dxa"/>
            <w:noWrap w:val="0"/>
            <w:vAlign w:val="top"/>
          </w:tcPr>
          <w:p w14:paraId="61928FB4">
            <w:pPr>
              <w:pStyle w:val="351"/>
              <w:widowControl/>
              <w:shd w:val="clear" w:color="auto" w:fill="auto"/>
              <w:spacing w:line="560" w:lineRule="exact"/>
              <w:jc w:val="center"/>
              <w:rPr>
                <w:rFonts w:hint="eastAsia" w:ascii="仿宋_GB2312" w:eastAsia="仿宋_GB2312"/>
                <w:color w:val="auto"/>
                <w:sz w:val="24"/>
                <w:highlight w:val="none"/>
              </w:rPr>
            </w:pPr>
          </w:p>
        </w:tc>
        <w:tc>
          <w:tcPr>
            <w:tcW w:w="1030" w:type="dxa"/>
            <w:noWrap w:val="0"/>
            <w:vAlign w:val="center"/>
          </w:tcPr>
          <w:p w14:paraId="403C91A0">
            <w:pPr>
              <w:pStyle w:val="351"/>
              <w:shd w:val="clear" w:color="auto" w:fill="auto"/>
              <w:spacing w:line="560" w:lineRule="exact"/>
              <w:jc w:val="center"/>
              <w:rPr>
                <w:rFonts w:hint="eastAsia" w:ascii="仿宋_GB2312" w:eastAsia="仿宋_GB2312"/>
                <w:color w:val="auto"/>
                <w:sz w:val="24"/>
                <w:highlight w:val="none"/>
              </w:rPr>
            </w:pPr>
          </w:p>
        </w:tc>
        <w:tc>
          <w:tcPr>
            <w:tcW w:w="1980" w:type="dxa"/>
            <w:noWrap w:val="0"/>
            <w:vAlign w:val="center"/>
          </w:tcPr>
          <w:p w14:paraId="4E8CBF70">
            <w:pPr>
              <w:pStyle w:val="351"/>
              <w:shd w:val="clear" w:color="auto" w:fill="auto"/>
              <w:spacing w:line="560" w:lineRule="exact"/>
              <w:jc w:val="center"/>
              <w:rPr>
                <w:rFonts w:hint="eastAsia" w:ascii="仿宋_GB2312" w:eastAsia="仿宋_GB2312"/>
                <w:color w:val="auto"/>
                <w:sz w:val="24"/>
                <w:highlight w:val="none"/>
              </w:rPr>
            </w:pPr>
          </w:p>
        </w:tc>
      </w:tr>
      <w:tr w14:paraId="71A45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noWrap w:val="0"/>
            <w:vAlign w:val="center"/>
          </w:tcPr>
          <w:p w14:paraId="16EE732E">
            <w:pPr>
              <w:pStyle w:val="351"/>
              <w:shd w:val="clear" w:color="auto" w:fill="auto"/>
              <w:spacing w:line="560" w:lineRule="exact"/>
              <w:jc w:val="center"/>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t>…</w:t>
            </w:r>
          </w:p>
        </w:tc>
        <w:tc>
          <w:tcPr>
            <w:tcW w:w="1793" w:type="dxa"/>
            <w:noWrap w:val="0"/>
            <w:vAlign w:val="center"/>
          </w:tcPr>
          <w:p w14:paraId="33DECCAD">
            <w:pPr>
              <w:pStyle w:val="351"/>
              <w:shd w:val="clear" w:color="auto" w:fill="auto"/>
              <w:spacing w:line="560" w:lineRule="exact"/>
              <w:jc w:val="center"/>
              <w:rPr>
                <w:rFonts w:hint="eastAsia" w:ascii="仿宋_GB2312" w:eastAsia="仿宋_GB2312"/>
                <w:iCs/>
                <w:color w:val="auto"/>
                <w:sz w:val="24"/>
                <w:highlight w:val="none"/>
              </w:rPr>
            </w:pPr>
            <w:r>
              <w:rPr>
                <w:rFonts w:hint="eastAsia" w:ascii="仿宋_GB2312" w:eastAsia="仿宋_GB2312"/>
                <w:iCs/>
                <w:color w:val="auto"/>
                <w:sz w:val="24"/>
                <w:highlight w:val="none"/>
              </w:rPr>
              <w:t>税金</w:t>
            </w:r>
          </w:p>
        </w:tc>
        <w:tc>
          <w:tcPr>
            <w:tcW w:w="2200" w:type="dxa"/>
            <w:noWrap w:val="0"/>
            <w:vAlign w:val="center"/>
          </w:tcPr>
          <w:p w14:paraId="2621FD2A">
            <w:pPr>
              <w:pStyle w:val="351"/>
              <w:shd w:val="clear" w:color="auto" w:fill="auto"/>
              <w:spacing w:line="560" w:lineRule="exact"/>
              <w:jc w:val="center"/>
              <w:rPr>
                <w:rFonts w:hint="eastAsia" w:ascii="仿宋_GB2312" w:eastAsia="仿宋_GB2312"/>
                <w:i/>
                <w:iCs/>
                <w:color w:val="auto"/>
                <w:sz w:val="24"/>
                <w:highlight w:val="none"/>
              </w:rPr>
            </w:pPr>
          </w:p>
        </w:tc>
        <w:tc>
          <w:tcPr>
            <w:tcW w:w="1103" w:type="dxa"/>
            <w:noWrap w:val="0"/>
            <w:vAlign w:val="center"/>
          </w:tcPr>
          <w:p w14:paraId="361824E1">
            <w:pPr>
              <w:pStyle w:val="351"/>
              <w:shd w:val="clear" w:color="auto" w:fill="auto"/>
              <w:spacing w:line="560" w:lineRule="exact"/>
              <w:jc w:val="center"/>
              <w:rPr>
                <w:rFonts w:hint="eastAsia" w:ascii="仿宋_GB2312" w:eastAsia="仿宋_GB2312"/>
                <w:color w:val="auto"/>
                <w:sz w:val="24"/>
                <w:highlight w:val="none"/>
              </w:rPr>
            </w:pPr>
          </w:p>
        </w:tc>
        <w:tc>
          <w:tcPr>
            <w:tcW w:w="962" w:type="dxa"/>
            <w:noWrap w:val="0"/>
            <w:vAlign w:val="center"/>
          </w:tcPr>
          <w:p w14:paraId="6513F966">
            <w:pPr>
              <w:pStyle w:val="351"/>
              <w:shd w:val="clear" w:color="auto" w:fill="auto"/>
              <w:spacing w:line="560" w:lineRule="exact"/>
              <w:jc w:val="center"/>
              <w:rPr>
                <w:rFonts w:hint="eastAsia" w:ascii="仿宋_GB2312" w:eastAsia="仿宋_GB2312"/>
                <w:color w:val="auto"/>
                <w:sz w:val="24"/>
                <w:highlight w:val="none"/>
              </w:rPr>
            </w:pPr>
          </w:p>
        </w:tc>
        <w:tc>
          <w:tcPr>
            <w:tcW w:w="1030" w:type="dxa"/>
            <w:noWrap w:val="0"/>
            <w:vAlign w:val="center"/>
          </w:tcPr>
          <w:p w14:paraId="6EDA2868">
            <w:pPr>
              <w:pStyle w:val="351"/>
              <w:shd w:val="clear" w:color="auto" w:fill="auto"/>
              <w:spacing w:line="560" w:lineRule="exact"/>
              <w:jc w:val="center"/>
              <w:rPr>
                <w:rFonts w:hint="eastAsia" w:ascii="仿宋_GB2312" w:eastAsia="仿宋_GB2312"/>
                <w:color w:val="auto"/>
                <w:sz w:val="24"/>
                <w:highlight w:val="none"/>
              </w:rPr>
            </w:pPr>
          </w:p>
        </w:tc>
        <w:tc>
          <w:tcPr>
            <w:tcW w:w="1980" w:type="dxa"/>
            <w:noWrap w:val="0"/>
            <w:vAlign w:val="center"/>
          </w:tcPr>
          <w:p w14:paraId="4C8C5DC2">
            <w:pPr>
              <w:pStyle w:val="351"/>
              <w:shd w:val="clear" w:color="auto" w:fill="auto"/>
              <w:spacing w:line="560" w:lineRule="exact"/>
              <w:jc w:val="center"/>
              <w:rPr>
                <w:rFonts w:hint="eastAsia" w:ascii="仿宋_GB2312" w:eastAsia="仿宋_GB2312"/>
                <w:color w:val="auto"/>
                <w:sz w:val="24"/>
                <w:highlight w:val="none"/>
              </w:rPr>
            </w:pPr>
          </w:p>
        </w:tc>
      </w:tr>
      <w:tr w14:paraId="7403C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noWrap w:val="0"/>
            <w:vAlign w:val="center"/>
          </w:tcPr>
          <w:p w14:paraId="1F5F466C">
            <w:pPr>
              <w:pStyle w:val="351"/>
              <w:shd w:val="clear" w:color="auto" w:fill="auto"/>
              <w:spacing w:line="560" w:lineRule="exact"/>
              <w:jc w:val="center"/>
              <w:rPr>
                <w:rFonts w:hint="eastAsia" w:ascii="仿宋_GB2312" w:eastAsia="仿宋_GB2312"/>
                <w:i/>
                <w:iCs/>
                <w:color w:val="auto"/>
                <w:sz w:val="28"/>
                <w:szCs w:val="28"/>
                <w:highlight w:val="none"/>
              </w:rPr>
            </w:pPr>
          </w:p>
        </w:tc>
        <w:tc>
          <w:tcPr>
            <w:tcW w:w="6058" w:type="dxa"/>
            <w:gridSpan w:val="4"/>
            <w:noWrap w:val="0"/>
            <w:vAlign w:val="center"/>
          </w:tcPr>
          <w:p w14:paraId="02E401F4">
            <w:pPr>
              <w:pStyle w:val="351"/>
              <w:shd w:val="clear" w:color="auto" w:fill="auto"/>
              <w:spacing w:line="560" w:lineRule="exact"/>
              <w:jc w:val="center"/>
              <w:rPr>
                <w:rFonts w:hint="eastAsia" w:ascii="仿宋_GB2312" w:eastAsia="仿宋_GB2312"/>
                <w:color w:val="auto"/>
                <w:sz w:val="24"/>
                <w:highlight w:val="none"/>
              </w:rPr>
            </w:pPr>
            <w:r>
              <w:rPr>
                <w:rFonts w:hint="eastAsia" w:ascii="仿宋_GB2312" w:eastAsia="仿宋_GB2312"/>
                <w:iCs/>
                <w:color w:val="auto"/>
                <w:sz w:val="24"/>
                <w:highlight w:val="none"/>
              </w:rPr>
              <w:t>合计</w:t>
            </w:r>
          </w:p>
        </w:tc>
        <w:tc>
          <w:tcPr>
            <w:tcW w:w="1030" w:type="dxa"/>
            <w:noWrap w:val="0"/>
            <w:vAlign w:val="center"/>
          </w:tcPr>
          <w:p w14:paraId="35DD9790">
            <w:pPr>
              <w:pStyle w:val="351"/>
              <w:shd w:val="clear" w:color="auto" w:fill="auto"/>
              <w:spacing w:line="560" w:lineRule="exact"/>
              <w:jc w:val="center"/>
              <w:rPr>
                <w:rFonts w:hint="eastAsia" w:ascii="仿宋_GB2312" w:eastAsia="仿宋_GB2312"/>
                <w:color w:val="auto"/>
                <w:sz w:val="24"/>
                <w:highlight w:val="none"/>
              </w:rPr>
            </w:pPr>
          </w:p>
        </w:tc>
        <w:tc>
          <w:tcPr>
            <w:tcW w:w="1980" w:type="dxa"/>
            <w:noWrap w:val="0"/>
            <w:vAlign w:val="center"/>
          </w:tcPr>
          <w:p w14:paraId="1D076855">
            <w:pPr>
              <w:pStyle w:val="351"/>
              <w:shd w:val="clear" w:color="auto" w:fill="auto"/>
              <w:spacing w:line="560" w:lineRule="exact"/>
              <w:jc w:val="center"/>
              <w:rPr>
                <w:rFonts w:hint="eastAsia" w:ascii="仿宋_GB2312" w:eastAsia="仿宋_GB2312"/>
                <w:color w:val="auto"/>
                <w:sz w:val="24"/>
                <w:highlight w:val="none"/>
              </w:rPr>
            </w:pPr>
          </w:p>
        </w:tc>
      </w:tr>
      <w:tr w14:paraId="2C5C2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2449" w:type="dxa"/>
            <w:gridSpan w:val="2"/>
            <w:noWrap w:val="0"/>
            <w:vAlign w:val="center"/>
          </w:tcPr>
          <w:p w14:paraId="689201A0">
            <w:pPr>
              <w:pStyle w:val="351"/>
              <w:shd w:val="clear" w:color="auto" w:fill="auto"/>
              <w:spacing w:line="560" w:lineRule="exact"/>
              <w:jc w:val="center"/>
              <w:rPr>
                <w:rFonts w:hint="eastAsia" w:ascii="仿宋_GB2312" w:eastAsia="仿宋_GB2312"/>
                <w:b/>
                <w:bCs/>
                <w:color w:val="auto"/>
                <w:sz w:val="28"/>
                <w:szCs w:val="28"/>
                <w:highlight w:val="none"/>
              </w:rPr>
            </w:pPr>
            <w:r>
              <w:rPr>
                <w:rFonts w:hint="eastAsia" w:ascii="仿宋_GB2312" w:eastAsia="仿宋_GB2312"/>
                <w:b/>
                <w:bCs/>
                <w:color w:val="auto"/>
                <w:sz w:val="28"/>
                <w:szCs w:val="28"/>
                <w:highlight w:val="none"/>
              </w:rPr>
              <w:t>投标</w:t>
            </w:r>
          </w:p>
          <w:p w14:paraId="2285C05C">
            <w:pPr>
              <w:pStyle w:val="351"/>
              <w:shd w:val="clear" w:color="auto" w:fill="auto"/>
              <w:spacing w:line="560" w:lineRule="exact"/>
              <w:jc w:val="center"/>
              <w:rPr>
                <w:rFonts w:hint="eastAsia" w:ascii="仿宋_GB2312" w:eastAsia="仿宋_GB2312"/>
                <w:b/>
                <w:bCs/>
                <w:color w:val="auto"/>
                <w:sz w:val="24"/>
                <w:highlight w:val="none"/>
              </w:rPr>
            </w:pPr>
            <w:r>
              <w:rPr>
                <w:rFonts w:hint="eastAsia" w:ascii="仿宋_GB2312" w:eastAsia="仿宋_GB2312"/>
                <w:b/>
                <w:bCs/>
                <w:color w:val="auto"/>
                <w:sz w:val="28"/>
                <w:szCs w:val="28"/>
                <w:highlight w:val="none"/>
              </w:rPr>
              <w:t>报价总计</w:t>
            </w:r>
          </w:p>
        </w:tc>
        <w:tc>
          <w:tcPr>
            <w:tcW w:w="7275" w:type="dxa"/>
            <w:gridSpan w:val="5"/>
            <w:noWrap w:val="0"/>
            <w:vAlign w:val="center"/>
          </w:tcPr>
          <w:p w14:paraId="012F9FC7">
            <w:pPr>
              <w:pStyle w:val="351"/>
              <w:shd w:val="clear" w:color="auto" w:fill="auto"/>
              <w:spacing w:line="560" w:lineRule="exact"/>
              <w:rPr>
                <w:rFonts w:hint="eastAsia" w:ascii="仿宋_GB2312" w:eastAsia="仿宋_GB2312"/>
                <w:b/>
                <w:bCs/>
                <w:color w:val="auto"/>
                <w:sz w:val="24"/>
                <w:highlight w:val="none"/>
              </w:rPr>
            </w:pPr>
            <w:r>
              <w:rPr>
                <w:rFonts w:hint="eastAsia" w:ascii="仿宋_GB2312" w:eastAsia="仿宋_GB2312"/>
                <w:b/>
                <w:bCs/>
                <w:color w:val="auto"/>
                <w:sz w:val="24"/>
                <w:highlight w:val="none"/>
              </w:rPr>
              <w:t>￥</w:t>
            </w:r>
            <w:r>
              <w:rPr>
                <w:rFonts w:hint="eastAsia" w:ascii="仿宋_GB2312" w:eastAsia="仿宋_GB2312"/>
                <w:b/>
                <w:bCs/>
                <w:color w:val="auto"/>
                <w:sz w:val="24"/>
                <w:highlight w:val="none"/>
                <w:u w:val="single"/>
              </w:rPr>
              <w:t xml:space="preserve">                          </w:t>
            </w:r>
          </w:p>
          <w:p w14:paraId="3DBDB222">
            <w:pPr>
              <w:pStyle w:val="351"/>
              <w:shd w:val="clear" w:color="auto" w:fill="auto"/>
              <w:spacing w:line="560" w:lineRule="exact"/>
              <w:rPr>
                <w:rFonts w:hint="eastAsia" w:ascii="仿宋_GB2312" w:eastAsia="仿宋_GB2312"/>
                <w:b/>
                <w:bCs/>
                <w:color w:val="auto"/>
                <w:sz w:val="24"/>
                <w:highlight w:val="none"/>
              </w:rPr>
            </w:pPr>
            <w:r>
              <w:rPr>
                <w:rFonts w:hint="eastAsia" w:ascii="仿宋_GB2312" w:eastAsia="仿宋_GB2312"/>
                <w:b/>
                <w:bCs/>
                <w:color w:val="auto"/>
                <w:sz w:val="24"/>
                <w:highlight w:val="none"/>
              </w:rPr>
              <w:t>人民币（大写）：</w:t>
            </w:r>
          </w:p>
          <w:p w14:paraId="4995AA26">
            <w:pPr>
              <w:pStyle w:val="351"/>
              <w:shd w:val="clear" w:color="auto" w:fill="auto"/>
              <w:spacing w:line="560" w:lineRule="exact"/>
              <w:rPr>
                <w:rFonts w:hint="eastAsia"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分</w:t>
            </w:r>
          </w:p>
        </w:tc>
      </w:tr>
    </w:tbl>
    <w:p w14:paraId="148C792D">
      <w:pPr>
        <w:pStyle w:val="345"/>
        <w:shd w:val="clear" w:color="auto" w:fill="auto"/>
        <w:ind w:firstLine="629"/>
        <w:rPr>
          <w:rFonts w:hint="eastAsia" w:ascii="仿宋_GB2312" w:eastAsia="仿宋_GB2312"/>
          <w:color w:val="auto"/>
          <w:sz w:val="24"/>
          <w:highlight w:val="none"/>
        </w:rPr>
      </w:pPr>
      <w:bookmarkStart w:id="128" w:name="_Toc514054496"/>
      <w:r>
        <w:rPr>
          <w:rFonts w:hint="eastAsia" w:ascii="仿宋_GB2312" w:eastAsia="仿宋_GB2312"/>
          <w:color w:val="auto"/>
          <w:sz w:val="24"/>
          <w:highlight w:val="none"/>
        </w:rPr>
        <w:t>注：投标人应分项进行填报，表中表格行数可自行添加。招标文件中未列出的相关辅助材料和在实施过程中涉及到的其它一切费用应在报价时一并考虑，项目实施过程中不再单独结算。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表中投标报价总计应与对应报价一览表中投标总价一致。</w:t>
      </w:r>
    </w:p>
    <w:p w14:paraId="45C69317">
      <w:pPr>
        <w:pStyle w:val="345"/>
        <w:shd w:val="clear" w:color="auto" w:fill="auto"/>
        <w:ind w:firstLine="629"/>
        <w:rPr>
          <w:rFonts w:hint="eastAsia" w:ascii="仿宋_GB2312" w:eastAsia="仿宋_GB2312"/>
          <w:color w:val="auto"/>
          <w:sz w:val="24"/>
          <w:highlight w:val="none"/>
        </w:rPr>
      </w:pPr>
    </w:p>
    <w:p w14:paraId="5356B3B6">
      <w:pPr>
        <w:pStyle w:val="345"/>
        <w:shd w:val="clear" w:color="auto" w:fill="auto"/>
        <w:ind w:firstLine="629"/>
        <w:rPr>
          <w:rFonts w:hint="eastAsia"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32C4FC01">
      <w:pPr>
        <w:pStyle w:val="345"/>
        <w:shd w:val="clear" w:color="auto" w:fill="auto"/>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6190DDFC">
      <w:pPr>
        <w:pStyle w:val="434"/>
        <w:shd w:val="clear" w:color="auto" w:fill="auto"/>
        <w:outlineLvl w:val="1"/>
        <w:rPr>
          <w:color w:val="auto"/>
          <w:highlight w:val="none"/>
        </w:rPr>
      </w:pPr>
      <w:r>
        <w:rPr>
          <w:color w:val="auto"/>
          <w:highlight w:val="none"/>
        </w:rPr>
        <w:br w:type="page" w:clear="all"/>
      </w:r>
      <w:bookmarkStart w:id="129" w:name="_Toc10632"/>
      <w:r>
        <w:rPr>
          <w:color w:val="auto"/>
          <w:highlight w:val="none"/>
        </w:rPr>
        <w:t>十一、中小企业声明函</w:t>
      </w:r>
      <w:bookmarkEnd w:id="128"/>
      <w:bookmarkEnd w:id="129"/>
    </w:p>
    <w:p w14:paraId="7B70A50F">
      <w:pPr>
        <w:shd w:val="clear" w:color="auto" w:fill="auto"/>
        <w:jc w:val="center"/>
        <w:rPr>
          <w:rFonts w:hint="eastAsia" w:ascii="楷体" w:hAnsi="楷体" w:eastAsia="楷体" w:cs="楷体"/>
          <w:color w:val="auto"/>
          <w:sz w:val="32"/>
          <w:szCs w:val="32"/>
          <w:highlight w:val="none"/>
        </w:rPr>
      </w:pPr>
      <w:r>
        <w:rPr>
          <w:rStyle w:val="255"/>
          <w:rFonts w:hint="eastAsia" w:ascii="楷体" w:hAnsi="楷体" w:eastAsia="楷体" w:cs="楷体"/>
          <w:color w:val="auto"/>
          <w:sz w:val="32"/>
          <w:szCs w:val="32"/>
          <w:highlight w:val="none"/>
          <w:lang w:bidi="ar"/>
        </w:rPr>
        <w:t>中小企业声明函（货物）</w:t>
      </w:r>
    </w:p>
    <w:p w14:paraId="29E5F4DD">
      <w:pPr>
        <w:widowControl/>
        <w:shd w:val="clear" w:color="auto" w:fill="auto"/>
        <w:spacing w:before="100" w:beforeAutospacing="1" w:after="100" w:afterAutospacing="1" w:line="435" w:lineRule="exact"/>
        <w:ind w:firstLine="480"/>
        <w:jc w:val="left"/>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购活动，提供的货物全部由符合政策要求的中小企业制造。相关企业（含联合体中的中小企业、签订分包意向协议的中小企业）的具体情况如下：</w:t>
      </w:r>
    </w:p>
    <w:p w14:paraId="6E3AF2A1">
      <w:pPr>
        <w:widowControl/>
        <w:shd w:val="clear" w:color="auto" w:fill="auto"/>
        <w:spacing w:before="100" w:beforeAutospacing="1" w:after="100" w:afterAutospacing="1" w:line="435"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w:t>
      </w:r>
      <w:r>
        <w:rPr>
          <w:rFonts w:hint="eastAsia" w:ascii="仿宋_GB2312" w:eastAsia="仿宋_GB2312"/>
          <w:color w:val="auto"/>
          <w:sz w:val="24"/>
          <w:szCs w:val="24"/>
          <w:highlight w:val="none"/>
          <w:u w:val="single"/>
        </w:rPr>
        <w:t>标的名称）</w:t>
      </w:r>
      <w:r>
        <w:rPr>
          <w:rFonts w:hint="eastAsia" w:ascii="仿宋" w:hAnsi="仿宋" w:eastAsia="仿宋" w:cs="仿宋"/>
          <w:color w:val="auto"/>
          <w:sz w:val="24"/>
          <w:szCs w:val="24"/>
          <w:highlight w:val="none"/>
          <w:lang w:bidi="ar"/>
        </w:rPr>
        <w:t>，属于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w:t>
      </w:r>
      <w:r>
        <w:rPr>
          <w:rFonts w:hint="eastAsia" w:ascii="仿宋_GB2312" w:eastAsia="仿宋_GB2312"/>
          <w:color w:val="auto"/>
          <w:sz w:val="24"/>
          <w:szCs w:val="24"/>
          <w:highlight w:val="none"/>
        </w:rPr>
        <w:t>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人，</w:t>
      </w:r>
      <w:r>
        <w:rPr>
          <w:rFonts w:hint="eastAsia" w:ascii="仿宋_GB2312" w:eastAsia="仿宋_GB2312"/>
          <w:color w:val="auto"/>
          <w:sz w:val="24"/>
          <w:szCs w:val="24"/>
          <w:highlight w:val="none"/>
        </w:rPr>
        <w:t>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万元，</w:t>
      </w:r>
      <w:r>
        <w:rPr>
          <w:rFonts w:hint="eastAsia" w:ascii="仿宋_GB2312" w:eastAsia="仿宋_GB2312"/>
          <w:color w:val="auto"/>
          <w:sz w:val="24"/>
          <w:szCs w:val="24"/>
          <w:highlight w:val="none"/>
        </w:rPr>
        <w:t>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万</w:t>
      </w:r>
      <w:r>
        <w:rPr>
          <w:rFonts w:hint="eastAsia" w:ascii="仿宋_GB2312" w:eastAsia="仿宋_GB2312"/>
          <w:color w:val="auto"/>
          <w:sz w:val="24"/>
          <w:szCs w:val="24"/>
          <w:highlight w:val="none"/>
        </w:rPr>
        <w:t>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w:t>
      </w:r>
    </w:p>
    <w:p w14:paraId="2E6684F6">
      <w:pPr>
        <w:widowControl/>
        <w:shd w:val="clear" w:color="auto" w:fill="auto"/>
        <w:spacing w:before="100" w:beforeAutospacing="1" w:after="100" w:afterAutospacing="1" w:line="435"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w:t>
      </w:r>
      <w:r>
        <w:rPr>
          <w:rFonts w:hint="eastAsia" w:ascii="仿宋_GB2312" w:eastAsia="仿宋_GB2312"/>
          <w:color w:val="auto"/>
          <w:sz w:val="24"/>
          <w:szCs w:val="24"/>
          <w:highlight w:val="none"/>
          <w:u w:val="single"/>
        </w:rPr>
        <w:t>标的名称）</w:t>
      </w:r>
      <w:r>
        <w:rPr>
          <w:rFonts w:hint="eastAsia" w:ascii="仿宋" w:hAnsi="仿宋" w:eastAsia="仿宋" w:cs="仿宋"/>
          <w:color w:val="auto"/>
          <w:sz w:val="24"/>
          <w:szCs w:val="24"/>
          <w:highlight w:val="none"/>
          <w:lang w:bidi="ar"/>
        </w:rPr>
        <w:t>，属于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w:t>
      </w:r>
      <w:r>
        <w:rPr>
          <w:rFonts w:hint="eastAsia" w:ascii="仿宋_GB2312" w:eastAsia="仿宋_GB2312"/>
          <w:color w:val="auto"/>
          <w:sz w:val="24"/>
          <w:szCs w:val="24"/>
          <w:highlight w:val="none"/>
        </w:rPr>
        <w:t>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人，</w:t>
      </w:r>
      <w:r>
        <w:rPr>
          <w:rFonts w:hint="eastAsia" w:ascii="仿宋_GB2312" w:eastAsia="仿宋_GB2312"/>
          <w:color w:val="auto"/>
          <w:sz w:val="24"/>
          <w:szCs w:val="24"/>
          <w:highlight w:val="none"/>
        </w:rPr>
        <w:t>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万元，</w:t>
      </w:r>
      <w:r>
        <w:rPr>
          <w:rFonts w:hint="eastAsia" w:ascii="仿宋_GB2312" w:eastAsia="仿宋_GB2312"/>
          <w:color w:val="auto"/>
          <w:sz w:val="24"/>
          <w:szCs w:val="24"/>
          <w:highlight w:val="none"/>
        </w:rPr>
        <w:t>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万</w:t>
      </w:r>
      <w:r>
        <w:rPr>
          <w:rFonts w:hint="eastAsia" w:ascii="仿宋_GB2312" w:eastAsia="仿宋_GB2312"/>
          <w:color w:val="auto"/>
          <w:sz w:val="24"/>
          <w:szCs w:val="24"/>
          <w:highlight w:val="none"/>
        </w:rPr>
        <w:t>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w:t>
      </w:r>
    </w:p>
    <w:p w14:paraId="02179066">
      <w:pPr>
        <w:widowControl/>
        <w:shd w:val="clear" w:color="auto" w:fill="auto"/>
        <w:spacing w:before="100" w:beforeAutospacing="1" w:after="100" w:afterAutospacing="1" w:line="435" w:lineRule="exact"/>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w:t>
      </w:r>
    </w:p>
    <w:p w14:paraId="48FFA6EE">
      <w:pPr>
        <w:widowControl/>
        <w:shd w:val="clear" w:color="auto" w:fill="auto"/>
        <w:spacing w:before="100" w:beforeAutospacing="1" w:after="100" w:afterAutospacing="1" w:line="435" w:lineRule="exact"/>
        <w:ind w:firstLine="480"/>
        <w:jc w:val="left"/>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以上企业，不属于大企业的分支机构，不存在控股股东为大企业的情形，也不存在与大企业的负责人为同一人的情形。</w:t>
      </w:r>
    </w:p>
    <w:p w14:paraId="349D2755">
      <w:pPr>
        <w:widowControl/>
        <w:shd w:val="clear" w:color="auto" w:fill="auto"/>
        <w:spacing w:before="100" w:beforeAutospacing="1" w:after="100" w:afterAutospacing="1" w:line="435" w:lineRule="exact"/>
        <w:ind w:firstLine="480"/>
        <w:jc w:val="left"/>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本企业对上述声明内容的真实性负责。如有虚假，将依法承担相应责任。</w:t>
      </w:r>
    </w:p>
    <w:p w14:paraId="0507BF3D">
      <w:pPr>
        <w:widowControl/>
        <w:shd w:val="clear" w:color="auto" w:fill="auto"/>
        <w:spacing w:before="100" w:beforeAutospacing="1" w:after="100" w:afterAutospacing="1" w:line="435" w:lineRule="exact"/>
        <w:ind w:firstLine="480"/>
        <w:jc w:val="right"/>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企业名称（盖章）：</w:t>
      </w:r>
    </w:p>
    <w:p w14:paraId="2717A2E4">
      <w:pPr>
        <w:widowControl/>
        <w:shd w:val="clear" w:color="auto" w:fill="auto"/>
        <w:spacing w:before="100" w:beforeAutospacing="1" w:after="100" w:afterAutospacing="1" w:line="435" w:lineRule="exact"/>
        <w:ind w:firstLine="480"/>
        <w:jc w:val="right"/>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日 期：</w:t>
      </w:r>
    </w:p>
    <w:p w14:paraId="7EAF81D0">
      <w:pPr>
        <w:shd w:val="clear" w:color="auto" w:fill="auto"/>
        <w:spacing w:line="420" w:lineRule="auto"/>
        <w:ind w:firstLine="482"/>
        <w:jc w:val="left"/>
        <w:rPr>
          <w:rFonts w:hint="eastAsia" w:ascii="宋体" w:hAnsi="宋体"/>
          <w:color w:val="auto"/>
          <w:sz w:val="24"/>
          <w:szCs w:val="24"/>
          <w:highlight w:val="none"/>
        </w:rPr>
      </w:pPr>
      <w:r>
        <w:rPr>
          <w:rFonts w:hint="eastAsia" w:ascii="宋体" w:hAnsi="宋体"/>
          <w:b/>
          <w:bCs/>
          <w:color w:val="auto"/>
          <w:sz w:val="24"/>
          <w:szCs w:val="24"/>
          <w:highlight w:val="none"/>
          <w:vertAlign w:val="superscript"/>
        </w:rPr>
        <w:t>1</w:t>
      </w:r>
      <w:r>
        <w:rPr>
          <w:rFonts w:hint="eastAsia" w:ascii="宋体" w:hAnsi="宋体"/>
          <w:color w:val="auto"/>
          <w:sz w:val="24"/>
          <w:szCs w:val="24"/>
          <w:highlight w:val="none"/>
        </w:rPr>
        <w:t>从业人员、营业收入、资产总额填报上一年度数据，无上一年度数据的新成立企业可不填报。</w:t>
      </w:r>
    </w:p>
    <w:p w14:paraId="390875BF">
      <w:pPr>
        <w:shd w:val="clear" w:color="auto" w:fill="auto"/>
        <w:spacing w:line="360" w:lineRule="auto"/>
        <w:ind w:firstLine="422"/>
        <w:jc w:val="left"/>
        <w:rPr>
          <w:rFonts w:hint="eastAsia" w:ascii="宋体" w:hAnsi="宋体"/>
          <w:b/>
          <w:bCs/>
          <w:color w:val="auto"/>
          <w:szCs w:val="21"/>
          <w:highlight w:val="none"/>
        </w:rPr>
      </w:pPr>
      <w:r>
        <w:rPr>
          <w:rFonts w:hint="eastAsia" w:ascii="宋体" w:hAnsi="宋体"/>
          <w:b/>
          <w:bCs/>
          <w:color w:val="auto"/>
          <w:szCs w:val="21"/>
          <w:highlight w:val="none"/>
        </w:rPr>
        <w:t>备注：</w:t>
      </w:r>
    </w:p>
    <w:p w14:paraId="0CFC8B10">
      <w:pPr>
        <w:numPr>
          <w:ilvl w:val="0"/>
          <w:numId w:val="12"/>
        </w:numPr>
        <w:shd w:val="clear" w:color="auto" w:fill="auto"/>
        <w:spacing w:line="360" w:lineRule="auto"/>
        <w:ind w:firstLine="422"/>
        <w:jc w:val="left"/>
        <w:rPr>
          <w:rFonts w:hint="eastAsia"/>
          <w:color w:val="auto"/>
          <w:szCs w:val="21"/>
          <w:highlight w:val="none"/>
        </w:rPr>
      </w:pPr>
      <w:r>
        <w:rPr>
          <w:rFonts w:hint="eastAsia" w:ascii="宋体" w:hAnsi="宋体"/>
          <w:b/>
          <w:bCs/>
          <w:color w:val="auto"/>
          <w:szCs w:val="21"/>
          <w:highlight w:val="none"/>
        </w:rPr>
        <w:t>如供应商所投货物的制造商均为中小企业的，须由供应商在响应文件中提供加盖本单位公章的</w:t>
      </w:r>
      <w:r>
        <w:rPr>
          <w:rFonts w:hint="eastAsia" w:ascii="宋体" w:hAnsi="宋体"/>
          <w:b/>
          <w:color w:val="auto"/>
          <w:szCs w:val="21"/>
          <w:highlight w:val="none"/>
        </w:rPr>
        <w:t>声明</w:t>
      </w:r>
      <w:r>
        <w:rPr>
          <w:rFonts w:hint="eastAsia" w:ascii="宋体" w:hAnsi="宋体"/>
          <w:b/>
          <w:bCs/>
          <w:color w:val="auto"/>
          <w:szCs w:val="21"/>
          <w:highlight w:val="none"/>
        </w:rPr>
        <w:t>函，供应商应从制造商处获得充分、准确的信息，并对其出具的《中小企业声明函》真实性负责。</w:t>
      </w:r>
    </w:p>
    <w:p w14:paraId="42586CC5">
      <w:pPr>
        <w:pStyle w:val="185"/>
        <w:shd w:val="clear" w:color="auto" w:fill="auto"/>
        <w:rPr>
          <w:rFonts w:hint="eastAsia"/>
          <w:color w:val="auto"/>
          <w:highlight w:val="none"/>
        </w:rPr>
      </w:pPr>
    </w:p>
    <w:p w14:paraId="2D5E0651">
      <w:pPr>
        <w:rPr>
          <w:rFonts w:hint="eastAsia"/>
          <w:color w:val="auto"/>
          <w:highlight w:val="none"/>
        </w:rPr>
      </w:pPr>
    </w:p>
    <w:p w14:paraId="3824B501">
      <w:pPr>
        <w:rPr>
          <w:rFonts w:hint="eastAsia"/>
          <w:color w:val="auto"/>
          <w:highlight w:val="none"/>
        </w:rPr>
      </w:pPr>
    </w:p>
    <w:p w14:paraId="2A7CCA3A">
      <w:pPr>
        <w:rPr>
          <w:rFonts w:hint="eastAsia"/>
          <w:color w:val="auto"/>
          <w:highlight w:val="none"/>
        </w:rPr>
      </w:pPr>
    </w:p>
    <w:p w14:paraId="1B1A2D6A">
      <w:pPr>
        <w:keepNext w:val="0"/>
        <w:keepLines w:val="0"/>
        <w:pageBreakBefore w:val="0"/>
        <w:widowControl w:val="0"/>
        <w:spacing w:line="420" w:lineRule="exact"/>
        <w:rPr>
          <w:rFonts w:hint="eastAsia"/>
          <w:color w:val="auto"/>
          <w:highlight w:val="none"/>
        </w:rPr>
      </w:pPr>
    </w:p>
    <w:p w14:paraId="41F4BEB0">
      <w:pPr>
        <w:rPr>
          <w:rFonts w:hint="eastAsia"/>
          <w:color w:val="auto"/>
          <w:highlight w:val="none"/>
        </w:rPr>
      </w:pPr>
    </w:p>
    <w:p w14:paraId="1990BDA6">
      <w:pPr>
        <w:pStyle w:val="353"/>
        <w:shd w:val="clear" w:color="auto" w:fill="auto"/>
        <w:spacing w:before="151" w:after="151" w:line="600" w:lineRule="exact"/>
        <w:jc w:val="center"/>
        <w:rPr>
          <w:rFonts w:hint="eastAsia" w:ascii="宋体"/>
          <w:b/>
          <w:bCs/>
          <w:color w:val="auto"/>
          <w:sz w:val="32"/>
          <w:szCs w:val="32"/>
          <w:highlight w:val="none"/>
        </w:rPr>
      </w:pPr>
      <w:r>
        <w:rPr>
          <w:rFonts w:hint="eastAsia" w:ascii="宋体"/>
          <w:b/>
          <w:bCs/>
          <w:color w:val="auto"/>
          <w:sz w:val="32"/>
          <w:szCs w:val="32"/>
          <w:highlight w:val="none"/>
        </w:rPr>
        <w:t>残疾人福利性单位声明函</w:t>
      </w:r>
    </w:p>
    <w:p w14:paraId="0B7B8C8A">
      <w:pPr>
        <w:pStyle w:val="564"/>
        <w:shd w:val="clear" w:color="auto" w:fill="auto"/>
        <w:spacing w:line="588" w:lineRule="exact"/>
        <w:rPr>
          <w:rFonts w:hint="eastAsia" w:ascii="仿宋_GB2312" w:eastAsia="仿宋_GB2312"/>
          <w:b/>
          <w:color w:val="auto"/>
          <w:spacing w:val="6"/>
          <w:sz w:val="30"/>
          <w:szCs w:val="30"/>
          <w:highlight w:val="none"/>
        </w:rPr>
      </w:pPr>
    </w:p>
    <w:p w14:paraId="234BDB13">
      <w:pPr>
        <w:pStyle w:val="353"/>
        <w:shd w:val="clear" w:color="auto" w:fill="auto"/>
        <w:spacing w:line="500" w:lineRule="exact"/>
        <w:ind w:firstLine="480"/>
        <w:rPr>
          <w:rFonts w:hint="eastAsia" w:ascii="仿宋_GB2312" w:eastAsia="仿宋_GB2312"/>
          <w:color w:val="auto"/>
          <w:sz w:val="24"/>
          <w:highlight w:val="none"/>
        </w:rPr>
      </w:pPr>
      <w:r>
        <w:rPr>
          <w:rFonts w:hint="eastAsia" w:ascii="仿宋_GB2312" w:eastAsia="仿宋_GB2312"/>
          <w:color w:val="auto"/>
          <w:sz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147F4903">
      <w:pPr>
        <w:pStyle w:val="353"/>
        <w:shd w:val="clear" w:color="auto" w:fill="auto"/>
        <w:spacing w:line="500" w:lineRule="exact"/>
        <w:ind w:firstLine="480"/>
        <w:rPr>
          <w:rFonts w:hint="eastAsia" w:ascii="方正仿宋_GBK" w:eastAsia="方正仿宋_GBK"/>
          <w:color w:val="auto"/>
          <w:sz w:val="24"/>
          <w:highlight w:val="none"/>
        </w:rPr>
      </w:pPr>
      <w:r>
        <w:rPr>
          <w:rFonts w:hint="eastAsia" w:ascii="仿宋_GB2312" w:eastAsia="仿宋_GB2312"/>
          <w:color w:val="auto"/>
          <w:sz w:val="24"/>
          <w:highlight w:val="none"/>
        </w:rPr>
        <w:t>本单位对上述声明的真实性负责。如有虚假，将依法承担相应责任。</w:t>
      </w:r>
    </w:p>
    <w:p w14:paraId="5BBCB85C">
      <w:pPr>
        <w:pStyle w:val="564"/>
        <w:shd w:val="clear" w:color="auto" w:fill="auto"/>
        <w:spacing w:line="588" w:lineRule="exact"/>
        <w:ind w:firstLine="504"/>
        <w:rPr>
          <w:rFonts w:hint="eastAsia" w:ascii="仿宋_GB2312" w:eastAsia="仿宋_GB2312"/>
          <w:color w:val="auto"/>
          <w:spacing w:val="6"/>
          <w:sz w:val="24"/>
          <w:szCs w:val="24"/>
          <w:highlight w:val="none"/>
        </w:rPr>
      </w:pPr>
    </w:p>
    <w:p w14:paraId="77DD9C72">
      <w:pPr>
        <w:pStyle w:val="564"/>
        <w:shd w:val="clear" w:color="auto" w:fill="auto"/>
        <w:spacing w:line="588" w:lineRule="exact"/>
        <w:ind w:firstLine="504"/>
        <w:rPr>
          <w:rFonts w:hint="eastAsia" w:ascii="仿宋_GB2312" w:eastAsia="仿宋_GB2312"/>
          <w:color w:val="auto"/>
          <w:spacing w:val="6"/>
          <w:sz w:val="24"/>
          <w:szCs w:val="24"/>
          <w:highlight w:val="none"/>
        </w:rPr>
      </w:pPr>
    </w:p>
    <w:p w14:paraId="1631762A">
      <w:pPr>
        <w:pStyle w:val="345"/>
        <w:shd w:val="clear" w:color="auto" w:fill="auto"/>
        <w:spacing w:line="700" w:lineRule="exact"/>
        <w:ind w:firstLine="629"/>
        <w:rPr>
          <w:rFonts w:hint="eastAsia"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682DDA33">
      <w:pPr>
        <w:pStyle w:val="345"/>
        <w:shd w:val="clear" w:color="auto" w:fill="auto"/>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1A2918EB">
      <w:pPr>
        <w:pStyle w:val="406"/>
        <w:shd w:val="clear" w:color="auto" w:fill="auto"/>
        <w:ind w:firstLine="720"/>
        <w:rPr>
          <w:rFonts w:hint="eastAsia" w:ascii="仿宋_GB2312" w:eastAsia="仿宋_GB2312"/>
          <w:color w:val="auto"/>
          <w:sz w:val="24"/>
          <w:highlight w:val="none"/>
          <w:u w:val="single"/>
        </w:rPr>
      </w:pPr>
    </w:p>
    <w:p w14:paraId="7D5D9B94">
      <w:pPr>
        <w:pStyle w:val="406"/>
        <w:shd w:val="clear" w:color="auto" w:fill="auto"/>
        <w:ind w:firstLine="4320"/>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2625A84D">
      <w:pPr>
        <w:pStyle w:val="473"/>
        <w:shd w:val="clear" w:color="auto" w:fill="auto"/>
        <w:rPr>
          <w:color w:val="auto"/>
          <w:highlight w:val="none"/>
        </w:rPr>
      </w:pPr>
    </w:p>
    <w:p w14:paraId="234E8BE1">
      <w:pPr>
        <w:pStyle w:val="353"/>
        <w:shd w:val="clear" w:color="auto" w:fill="auto"/>
        <w:rPr>
          <w:rFonts w:hint="eastAsia"/>
          <w:color w:val="auto"/>
          <w:highlight w:val="none"/>
        </w:rPr>
      </w:pPr>
      <w:r>
        <w:rPr>
          <w:rFonts w:hint="eastAsia"/>
          <w:color w:val="auto"/>
          <w:highlight w:val="none"/>
        </w:rPr>
        <w:t>注：1、残疾人福利性单位应完整填写此函并提供相关证明材料；</w:t>
      </w:r>
    </w:p>
    <w:p w14:paraId="584FFC0D">
      <w:pPr>
        <w:pStyle w:val="353"/>
        <w:shd w:val="clear" w:color="auto" w:fill="auto"/>
        <w:ind w:firstLine="420"/>
        <w:rPr>
          <w:rFonts w:hint="eastAsia"/>
          <w:color w:val="auto"/>
          <w:highlight w:val="none"/>
        </w:rPr>
      </w:pPr>
      <w:r>
        <w:rPr>
          <w:rFonts w:hint="eastAsia"/>
          <w:color w:val="auto"/>
          <w:highlight w:val="none"/>
        </w:rPr>
        <w:t>2、非残疾人福利性单位不需提供此声明函</w:t>
      </w:r>
    </w:p>
    <w:p w14:paraId="71BC71E2">
      <w:pPr>
        <w:pStyle w:val="473"/>
        <w:shd w:val="clear" w:color="auto" w:fill="auto"/>
        <w:outlineLvl w:val="1"/>
        <w:rPr>
          <w:color w:val="auto"/>
          <w:highlight w:val="none"/>
        </w:rPr>
      </w:pPr>
    </w:p>
    <w:p w14:paraId="4A229E1F">
      <w:pPr>
        <w:pStyle w:val="473"/>
        <w:shd w:val="clear" w:color="auto" w:fill="auto"/>
        <w:outlineLvl w:val="1"/>
        <w:rPr>
          <w:color w:val="auto"/>
          <w:highlight w:val="none"/>
        </w:rPr>
      </w:pPr>
    </w:p>
    <w:p w14:paraId="682E683F">
      <w:pPr>
        <w:pStyle w:val="473"/>
        <w:shd w:val="clear" w:color="auto" w:fill="auto"/>
        <w:outlineLvl w:val="1"/>
        <w:rPr>
          <w:color w:val="auto"/>
          <w:highlight w:val="none"/>
        </w:rPr>
      </w:pPr>
    </w:p>
    <w:p w14:paraId="7BC03865">
      <w:pPr>
        <w:pStyle w:val="473"/>
        <w:shd w:val="clear" w:color="auto" w:fill="auto"/>
        <w:outlineLvl w:val="1"/>
        <w:rPr>
          <w:color w:val="auto"/>
          <w:highlight w:val="none"/>
        </w:rPr>
      </w:pPr>
    </w:p>
    <w:p w14:paraId="5EF7AEA7">
      <w:pPr>
        <w:pStyle w:val="473"/>
        <w:shd w:val="clear" w:color="auto" w:fill="auto"/>
        <w:outlineLvl w:val="1"/>
        <w:rPr>
          <w:color w:val="auto"/>
          <w:highlight w:val="none"/>
        </w:rPr>
      </w:pPr>
    </w:p>
    <w:p w14:paraId="54B994B2">
      <w:pPr>
        <w:pStyle w:val="473"/>
        <w:shd w:val="clear" w:color="auto" w:fill="auto"/>
        <w:outlineLvl w:val="1"/>
        <w:rPr>
          <w:color w:val="auto"/>
          <w:highlight w:val="none"/>
        </w:rPr>
      </w:pPr>
    </w:p>
    <w:p w14:paraId="2D05E34E">
      <w:pPr>
        <w:pStyle w:val="473"/>
        <w:shd w:val="clear" w:color="auto" w:fill="auto"/>
        <w:outlineLvl w:val="1"/>
        <w:rPr>
          <w:color w:val="auto"/>
          <w:highlight w:val="none"/>
        </w:rPr>
      </w:pPr>
    </w:p>
    <w:p w14:paraId="5FE50E87">
      <w:pPr>
        <w:pStyle w:val="473"/>
        <w:shd w:val="clear" w:color="auto" w:fill="auto"/>
        <w:outlineLvl w:val="1"/>
        <w:rPr>
          <w:color w:val="auto"/>
          <w:highlight w:val="none"/>
        </w:rPr>
      </w:pPr>
    </w:p>
    <w:p w14:paraId="297AD63A">
      <w:pPr>
        <w:pStyle w:val="473"/>
        <w:shd w:val="clear" w:color="auto" w:fill="auto"/>
        <w:outlineLvl w:val="1"/>
        <w:rPr>
          <w:color w:val="auto"/>
          <w:highlight w:val="none"/>
        </w:rPr>
      </w:pPr>
    </w:p>
    <w:p w14:paraId="10F98BB0">
      <w:pPr>
        <w:pStyle w:val="473"/>
        <w:shd w:val="clear" w:color="auto" w:fill="auto"/>
        <w:outlineLvl w:val="1"/>
        <w:rPr>
          <w:color w:val="auto"/>
          <w:highlight w:val="none"/>
        </w:rPr>
      </w:pPr>
    </w:p>
    <w:p w14:paraId="5D2E5627">
      <w:pPr>
        <w:pStyle w:val="473"/>
        <w:shd w:val="clear" w:color="auto" w:fill="auto"/>
        <w:outlineLvl w:val="1"/>
        <w:rPr>
          <w:color w:val="auto"/>
          <w:highlight w:val="none"/>
        </w:rPr>
      </w:pPr>
    </w:p>
    <w:p w14:paraId="2742D4E6">
      <w:pPr>
        <w:pStyle w:val="473"/>
        <w:shd w:val="clear" w:color="auto" w:fill="auto"/>
        <w:outlineLvl w:val="1"/>
        <w:rPr>
          <w:color w:val="auto"/>
          <w:highlight w:val="none"/>
        </w:rPr>
      </w:pPr>
    </w:p>
    <w:p w14:paraId="364F0826">
      <w:pPr>
        <w:pStyle w:val="473"/>
        <w:shd w:val="clear" w:color="auto" w:fill="auto"/>
        <w:outlineLvl w:val="1"/>
        <w:rPr>
          <w:color w:val="auto"/>
          <w:highlight w:val="none"/>
        </w:rPr>
      </w:pPr>
    </w:p>
    <w:p w14:paraId="5AA2877C">
      <w:pPr>
        <w:shd w:val="clear" w:color="auto" w:fill="auto"/>
        <w:spacing w:line="360" w:lineRule="auto"/>
        <w:jc w:val="center"/>
        <w:outlineLvl w:val="0"/>
        <w:rPr>
          <w:rFonts w:hint="eastAsia" w:ascii="宋体" w:hAnsi="宋体"/>
          <w:b/>
          <w:bCs/>
          <w:color w:val="auto"/>
          <w:sz w:val="28"/>
          <w:szCs w:val="28"/>
          <w:highlight w:val="none"/>
        </w:rPr>
      </w:pPr>
    </w:p>
    <w:p w14:paraId="23019C9D">
      <w:pPr>
        <w:shd w:val="clear" w:color="auto" w:fill="auto"/>
        <w:spacing w:line="360" w:lineRule="auto"/>
        <w:jc w:val="center"/>
        <w:outlineLvl w:val="0"/>
        <w:rPr>
          <w:rFonts w:hint="eastAsia" w:ascii="宋体" w:hAnsi="宋体"/>
          <w:b/>
          <w:bCs/>
          <w:color w:val="auto"/>
          <w:sz w:val="28"/>
          <w:szCs w:val="28"/>
          <w:highlight w:val="none"/>
        </w:rPr>
      </w:pPr>
      <w:r>
        <w:rPr>
          <w:rFonts w:hint="eastAsia" w:ascii="宋体" w:hAnsi="宋体"/>
          <w:b/>
          <w:bCs/>
          <w:color w:val="auto"/>
          <w:sz w:val="28"/>
          <w:szCs w:val="28"/>
          <w:highlight w:val="none"/>
        </w:rPr>
        <w:t>属于监狱企业的证明文件</w:t>
      </w:r>
    </w:p>
    <w:p w14:paraId="53EAE8CB">
      <w:pPr>
        <w:shd w:val="clear" w:color="auto" w:fill="auto"/>
        <w:spacing w:line="360" w:lineRule="auto"/>
        <w:rPr>
          <w:rFonts w:hint="eastAsia" w:ascii="宋体" w:hAnsi="宋体"/>
          <w:color w:val="auto"/>
          <w:highlight w:val="none"/>
        </w:rPr>
      </w:pPr>
      <w:r>
        <w:rPr>
          <w:rFonts w:hint="eastAsia" w:ascii="宋体" w:hAnsi="宋体"/>
          <w:color w:val="auto"/>
          <w:highlight w:val="none"/>
        </w:rPr>
        <w:t>（提供由省级以上监狱管理局、戒毒管理局(含新疆生产建设兵团)出具的属于监狱企业的证明文件）</w:t>
      </w:r>
    </w:p>
    <w:p w14:paraId="175C3C90">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4C4B1C00">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14B5CD76">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2ECAA50F">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6D03F375">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4FCAB6A0">
      <w:pPr>
        <w:shd w:val="clear" w:color="auto" w:fill="auto"/>
        <w:spacing w:line="360" w:lineRule="auto"/>
        <w:jc w:val="center"/>
        <w:outlineLvl w:val="0"/>
        <w:rPr>
          <w:rFonts w:hint="eastAsia" w:ascii="宋体" w:hAnsi="宋体"/>
          <w:b/>
          <w:bCs/>
          <w:color w:val="auto"/>
          <w:highlight w:val="none"/>
        </w:rPr>
      </w:pPr>
      <w:bookmarkStart w:id="130" w:name="_Toc5876"/>
      <w:bookmarkEnd w:id="130"/>
      <w:r>
        <w:rPr>
          <w:rFonts w:hint="eastAsia" w:ascii="宋体" w:hAnsi="宋体"/>
          <w:b/>
          <w:bCs/>
          <w:color w:val="auto"/>
          <w:sz w:val="28"/>
          <w:szCs w:val="28"/>
          <w:highlight w:val="none"/>
        </w:rPr>
        <w:t>节能产品认证证书</w:t>
      </w:r>
    </w:p>
    <w:p w14:paraId="4F441E8E">
      <w:pPr>
        <w:shd w:val="clear" w:color="auto" w:fill="auto"/>
        <w:spacing w:line="360" w:lineRule="auto"/>
        <w:rPr>
          <w:rFonts w:hint="eastAsia" w:ascii="宋体" w:hAnsi="宋体"/>
          <w:color w:val="auto"/>
          <w:highlight w:val="none"/>
        </w:rPr>
      </w:pPr>
      <w:r>
        <w:rPr>
          <w:rFonts w:hint="eastAsia" w:ascii="宋体" w:hAnsi="宋体"/>
          <w:color w:val="auto"/>
          <w:highlight w:val="none"/>
        </w:rPr>
        <w:t>（提供国家确定的认证机构出具的、处于有效期之内的产品认证证书）</w:t>
      </w:r>
    </w:p>
    <w:p w14:paraId="6B2A0DCF">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7AABF03D">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09ABF64A">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1F445F23">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42B5BDBB">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16C425A1">
      <w:pPr>
        <w:shd w:val="clear" w:color="auto" w:fill="auto"/>
        <w:spacing w:line="360" w:lineRule="auto"/>
        <w:jc w:val="center"/>
        <w:outlineLvl w:val="0"/>
        <w:rPr>
          <w:rFonts w:hint="eastAsia" w:ascii="宋体" w:hAnsi="宋体"/>
          <w:b/>
          <w:bCs/>
          <w:color w:val="auto"/>
          <w:highlight w:val="none"/>
        </w:rPr>
      </w:pPr>
      <w:bookmarkStart w:id="131" w:name="_Toc16386"/>
      <w:bookmarkEnd w:id="131"/>
      <w:r>
        <w:rPr>
          <w:rFonts w:hint="eastAsia" w:ascii="宋体" w:hAnsi="宋体"/>
          <w:b/>
          <w:bCs/>
          <w:color w:val="auto"/>
          <w:sz w:val="28"/>
          <w:szCs w:val="28"/>
          <w:highlight w:val="none"/>
        </w:rPr>
        <w:t>环境标志产品认证证书</w:t>
      </w:r>
    </w:p>
    <w:p w14:paraId="5143CEFA">
      <w:pPr>
        <w:shd w:val="clear" w:color="auto" w:fill="auto"/>
        <w:spacing w:line="360" w:lineRule="auto"/>
        <w:rPr>
          <w:rFonts w:hint="eastAsia"/>
          <w:color w:val="auto"/>
          <w:highlight w:val="none"/>
        </w:rPr>
      </w:pPr>
      <w:r>
        <w:rPr>
          <w:rFonts w:hint="eastAsia" w:ascii="宋体" w:hAnsi="宋体"/>
          <w:color w:val="auto"/>
          <w:highlight w:val="none"/>
        </w:rPr>
        <w:t>（提供国家确定的认证机构出具的、处于有效期之内的产品认证证书）</w:t>
      </w:r>
    </w:p>
    <w:p w14:paraId="7B2B60C9">
      <w:pPr>
        <w:shd w:val="clear" w:color="auto" w:fill="auto"/>
        <w:spacing w:line="360" w:lineRule="auto"/>
        <w:rPr>
          <w:rFonts w:ascii="宋体" w:hAnsi="宋体"/>
          <w:b/>
          <w:bCs/>
          <w:color w:val="auto"/>
          <w:highlight w:val="none"/>
        </w:rPr>
      </w:pPr>
      <w:r>
        <w:rPr>
          <w:rFonts w:hint="eastAsia" w:ascii="宋体" w:hAnsi="宋体"/>
          <w:b/>
          <w:bCs/>
          <w:color w:val="auto"/>
          <w:highlight w:val="none"/>
        </w:rPr>
        <w:t xml:space="preserve"> </w:t>
      </w:r>
    </w:p>
    <w:p w14:paraId="1A5377DC">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0D07588B">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766BA157">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23391B39">
      <w:pPr>
        <w:shd w:val="clear" w:color="auto" w:fill="auto"/>
        <w:spacing w:line="360" w:lineRule="auto"/>
        <w:rPr>
          <w:rFonts w:hint="eastAsia" w:ascii="宋体" w:hAnsi="宋体"/>
          <w:b/>
          <w:bCs/>
          <w:color w:val="auto"/>
          <w:highlight w:val="none"/>
        </w:rPr>
      </w:pPr>
      <w:r>
        <w:rPr>
          <w:rFonts w:hint="eastAsia" w:ascii="宋体" w:hAnsi="宋体"/>
          <w:b/>
          <w:bCs/>
          <w:color w:val="auto"/>
          <w:highlight w:val="none"/>
        </w:rPr>
        <w:t xml:space="preserve"> </w:t>
      </w:r>
    </w:p>
    <w:p w14:paraId="10169E88">
      <w:pPr>
        <w:shd w:val="clear" w:color="auto" w:fill="auto"/>
        <w:spacing w:line="360" w:lineRule="auto"/>
        <w:jc w:val="center"/>
        <w:outlineLvl w:val="0"/>
        <w:rPr>
          <w:rFonts w:hint="eastAsia" w:ascii="宋体" w:hAnsi="宋体"/>
          <w:b/>
          <w:bCs/>
          <w:color w:val="auto"/>
          <w:sz w:val="28"/>
          <w:szCs w:val="28"/>
          <w:highlight w:val="none"/>
        </w:rPr>
      </w:pPr>
      <w:bookmarkStart w:id="132" w:name="_Toc1060"/>
      <w:bookmarkEnd w:id="132"/>
      <w:r>
        <w:rPr>
          <w:rFonts w:hint="eastAsia" w:ascii="宋体" w:hAnsi="宋体"/>
          <w:b/>
          <w:bCs/>
          <w:color w:val="auto"/>
          <w:sz w:val="28"/>
          <w:szCs w:val="28"/>
          <w:highlight w:val="none"/>
        </w:rPr>
        <w:t>进口产品转让技术、消化吸收再创新方案</w:t>
      </w:r>
    </w:p>
    <w:p w14:paraId="3D053BFC">
      <w:pPr>
        <w:shd w:val="clear" w:color="auto" w:fill="auto"/>
        <w:spacing w:line="360" w:lineRule="auto"/>
        <w:rPr>
          <w:rFonts w:hint="eastAsia" w:ascii="宋体" w:hAnsi="宋体"/>
          <w:color w:val="auto"/>
          <w:highlight w:val="none"/>
        </w:rPr>
      </w:pPr>
      <w:r>
        <w:rPr>
          <w:rFonts w:hint="eastAsia" w:ascii="宋体" w:hAnsi="宋体"/>
          <w:color w:val="auto"/>
          <w:highlight w:val="none"/>
        </w:rPr>
        <w:t>（对于允许进口产品参加的项目）</w:t>
      </w:r>
    </w:p>
    <w:p w14:paraId="6ACBFC2B">
      <w:pPr>
        <w:pStyle w:val="473"/>
        <w:shd w:val="clear" w:color="auto" w:fill="auto"/>
        <w:outlineLvl w:val="1"/>
        <w:rPr>
          <w:color w:val="auto"/>
          <w:highlight w:val="none"/>
        </w:rPr>
      </w:pPr>
    </w:p>
    <w:p w14:paraId="500A7222">
      <w:pPr>
        <w:pStyle w:val="473"/>
        <w:shd w:val="clear" w:color="auto" w:fill="auto"/>
        <w:outlineLvl w:val="1"/>
        <w:rPr>
          <w:color w:val="auto"/>
          <w:highlight w:val="none"/>
        </w:rPr>
      </w:pPr>
    </w:p>
    <w:p w14:paraId="27918929">
      <w:pPr>
        <w:pStyle w:val="473"/>
        <w:shd w:val="clear" w:color="auto" w:fill="auto"/>
        <w:outlineLvl w:val="1"/>
        <w:rPr>
          <w:color w:val="auto"/>
          <w:highlight w:val="none"/>
        </w:rPr>
      </w:pPr>
    </w:p>
    <w:p w14:paraId="1F8EA747">
      <w:pPr>
        <w:pStyle w:val="473"/>
        <w:shd w:val="clear" w:color="auto" w:fill="auto"/>
        <w:outlineLvl w:val="1"/>
        <w:rPr>
          <w:color w:val="auto"/>
          <w:highlight w:val="none"/>
        </w:rPr>
      </w:pPr>
    </w:p>
    <w:p w14:paraId="043976F8">
      <w:pPr>
        <w:pStyle w:val="473"/>
        <w:shd w:val="clear" w:color="auto" w:fill="auto"/>
        <w:outlineLvl w:val="1"/>
        <w:rPr>
          <w:color w:val="auto"/>
          <w:highlight w:val="none"/>
        </w:rPr>
      </w:pPr>
    </w:p>
    <w:p w14:paraId="0DD99F53">
      <w:pPr>
        <w:pStyle w:val="473"/>
        <w:shd w:val="clear" w:color="auto" w:fill="auto"/>
        <w:outlineLvl w:val="1"/>
        <w:rPr>
          <w:color w:val="auto"/>
          <w:highlight w:val="none"/>
        </w:rPr>
      </w:pPr>
    </w:p>
    <w:p w14:paraId="7B9DA02B">
      <w:pPr>
        <w:pStyle w:val="473"/>
        <w:shd w:val="clear" w:color="auto" w:fill="auto"/>
        <w:outlineLvl w:val="1"/>
        <w:rPr>
          <w:color w:val="auto"/>
          <w:highlight w:val="none"/>
        </w:rPr>
      </w:pPr>
    </w:p>
    <w:p w14:paraId="5F03B1BE">
      <w:pPr>
        <w:pStyle w:val="473"/>
        <w:shd w:val="clear" w:color="auto" w:fill="auto"/>
        <w:outlineLvl w:val="1"/>
        <w:rPr>
          <w:color w:val="auto"/>
          <w:highlight w:val="none"/>
        </w:rPr>
      </w:pPr>
    </w:p>
    <w:p w14:paraId="03094EF6">
      <w:pPr>
        <w:pStyle w:val="473"/>
        <w:shd w:val="clear" w:color="auto" w:fill="auto"/>
        <w:outlineLvl w:val="1"/>
        <w:rPr>
          <w:color w:val="auto"/>
          <w:highlight w:val="none"/>
        </w:rPr>
      </w:pPr>
      <w:bookmarkStart w:id="133" w:name="_Toc514054497"/>
      <w:bookmarkStart w:id="134" w:name="_Toc16234"/>
      <w:r>
        <w:rPr>
          <w:color w:val="auto"/>
          <w:highlight w:val="none"/>
        </w:rPr>
        <w:t>十二、响应偏差表</w:t>
      </w:r>
      <w:bookmarkEnd w:id="133"/>
      <w:bookmarkEnd w:id="134"/>
    </w:p>
    <w:p w14:paraId="1BD2490E">
      <w:pPr>
        <w:pStyle w:val="283"/>
        <w:shd w:val="clear" w:color="auto" w:fill="auto"/>
        <w:jc w:val="center"/>
        <w:rPr>
          <w:rFonts w:hint="eastAsia"/>
          <w:color w:val="auto"/>
          <w:sz w:val="32"/>
          <w:szCs w:val="32"/>
          <w:highlight w:val="none"/>
        </w:rPr>
      </w:pPr>
      <w:bookmarkStart w:id="135" w:name="_Toc29509_WPSOffice_Level2"/>
      <w:r>
        <w:rPr>
          <w:rFonts w:hint="eastAsia"/>
          <w:color w:val="auto"/>
          <w:sz w:val="32"/>
          <w:szCs w:val="32"/>
          <w:highlight w:val="none"/>
        </w:rPr>
        <w:t>（一）投标技术响应偏差表</w:t>
      </w:r>
      <w:bookmarkEnd w:id="135"/>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1"/>
        <w:gridCol w:w="2351"/>
        <w:gridCol w:w="2601"/>
        <w:gridCol w:w="2765"/>
      </w:tblGrid>
      <w:tr w14:paraId="5219C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1A4A6BC2">
            <w:pPr>
              <w:pStyle w:val="283"/>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2351" w:type="dxa"/>
            <w:noWrap w:val="0"/>
            <w:vAlign w:val="center"/>
          </w:tcPr>
          <w:p w14:paraId="32B50D6C">
            <w:pPr>
              <w:pStyle w:val="283"/>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01" w:type="dxa"/>
            <w:noWrap w:val="0"/>
            <w:vAlign w:val="center"/>
          </w:tcPr>
          <w:p w14:paraId="5A37F38E">
            <w:pPr>
              <w:pStyle w:val="283"/>
              <w:widowControl/>
              <w:shd w:val="clear" w:color="auto" w:fill="auto"/>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765" w:type="dxa"/>
            <w:noWrap w:val="0"/>
            <w:vAlign w:val="center"/>
          </w:tcPr>
          <w:p w14:paraId="4D57C98A">
            <w:pPr>
              <w:pStyle w:val="283"/>
              <w:widowControl/>
              <w:shd w:val="clear" w:color="auto" w:fill="auto"/>
              <w:spacing w:before="100" w:beforeAutospacing="1" w:line="560" w:lineRule="exact"/>
              <w:jc w:val="center"/>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r>
      <w:tr w14:paraId="1488B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68EB3B54">
            <w:pPr>
              <w:pStyle w:val="283"/>
              <w:shd w:val="clear" w:color="auto" w:fill="auto"/>
              <w:spacing w:line="560" w:lineRule="exact"/>
              <w:jc w:val="center"/>
              <w:rPr>
                <w:rFonts w:ascii="仿宋_GB2312" w:eastAsia="仿宋_GB2312"/>
                <w:color w:val="auto"/>
                <w:sz w:val="24"/>
                <w:highlight w:val="none"/>
              </w:rPr>
            </w:pPr>
          </w:p>
        </w:tc>
        <w:tc>
          <w:tcPr>
            <w:tcW w:w="2351" w:type="dxa"/>
            <w:noWrap w:val="0"/>
            <w:vAlign w:val="center"/>
          </w:tcPr>
          <w:p w14:paraId="702C51C2">
            <w:pPr>
              <w:pStyle w:val="283"/>
              <w:shd w:val="clear" w:color="auto" w:fill="auto"/>
              <w:spacing w:line="560" w:lineRule="exact"/>
              <w:jc w:val="center"/>
              <w:rPr>
                <w:rFonts w:ascii="仿宋_GB2312" w:eastAsia="仿宋_GB2312"/>
                <w:color w:val="auto"/>
                <w:sz w:val="24"/>
                <w:highlight w:val="none"/>
              </w:rPr>
            </w:pPr>
          </w:p>
        </w:tc>
        <w:tc>
          <w:tcPr>
            <w:tcW w:w="2601" w:type="dxa"/>
            <w:noWrap w:val="0"/>
            <w:vAlign w:val="center"/>
          </w:tcPr>
          <w:p w14:paraId="060E0DAF">
            <w:pPr>
              <w:pStyle w:val="283"/>
              <w:shd w:val="clear" w:color="auto" w:fill="auto"/>
              <w:spacing w:line="560" w:lineRule="exact"/>
              <w:jc w:val="center"/>
              <w:rPr>
                <w:rFonts w:ascii="仿宋_GB2312" w:eastAsia="仿宋_GB2312"/>
                <w:color w:val="auto"/>
                <w:sz w:val="24"/>
                <w:highlight w:val="none"/>
              </w:rPr>
            </w:pPr>
          </w:p>
        </w:tc>
        <w:tc>
          <w:tcPr>
            <w:tcW w:w="2765" w:type="dxa"/>
            <w:noWrap w:val="0"/>
            <w:vAlign w:val="center"/>
          </w:tcPr>
          <w:p w14:paraId="10771902">
            <w:pPr>
              <w:pStyle w:val="283"/>
              <w:shd w:val="clear" w:color="auto" w:fill="auto"/>
              <w:spacing w:line="560" w:lineRule="exact"/>
              <w:jc w:val="center"/>
              <w:rPr>
                <w:rFonts w:ascii="仿宋_GB2312" w:eastAsia="仿宋_GB2312"/>
                <w:color w:val="auto"/>
                <w:sz w:val="24"/>
                <w:highlight w:val="none"/>
              </w:rPr>
            </w:pPr>
          </w:p>
        </w:tc>
      </w:tr>
      <w:tr w14:paraId="544D1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40FBCB99">
            <w:pPr>
              <w:pStyle w:val="283"/>
              <w:shd w:val="clear" w:color="auto" w:fill="auto"/>
              <w:spacing w:line="560" w:lineRule="exact"/>
              <w:jc w:val="center"/>
              <w:rPr>
                <w:rFonts w:ascii="仿宋_GB2312" w:eastAsia="仿宋_GB2312"/>
                <w:color w:val="auto"/>
                <w:sz w:val="24"/>
                <w:highlight w:val="none"/>
              </w:rPr>
            </w:pPr>
          </w:p>
        </w:tc>
        <w:tc>
          <w:tcPr>
            <w:tcW w:w="2351" w:type="dxa"/>
            <w:noWrap w:val="0"/>
            <w:vAlign w:val="center"/>
          </w:tcPr>
          <w:p w14:paraId="0D20079C">
            <w:pPr>
              <w:pStyle w:val="283"/>
              <w:shd w:val="clear" w:color="auto" w:fill="auto"/>
              <w:spacing w:line="560" w:lineRule="exact"/>
              <w:jc w:val="center"/>
              <w:rPr>
                <w:rFonts w:ascii="仿宋_GB2312" w:eastAsia="仿宋_GB2312"/>
                <w:color w:val="auto"/>
                <w:sz w:val="24"/>
                <w:highlight w:val="none"/>
              </w:rPr>
            </w:pPr>
          </w:p>
        </w:tc>
        <w:tc>
          <w:tcPr>
            <w:tcW w:w="2601" w:type="dxa"/>
            <w:noWrap w:val="0"/>
            <w:vAlign w:val="center"/>
          </w:tcPr>
          <w:p w14:paraId="57974230">
            <w:pPr>
              <w:pStyle w:val="283"/>
              <w:shd w:val="clear" w:color="auto" w:fill="auto"/>
              <w:spacing w:line="560" w:lineRule="exact"/>
              <w:jc w:val="center"/>
              <w:rPr>
                <w:rFonts w:ascii="仿宋_GB2312" w:eastAsia="仿宋_GB2312"/>
                <w:color w:val="auto"/>
                <w:sz w:val="24"/>
                <w:highlight w:val="none"/>
              </w:rPr>
            </w:pPr>
          </w:p>
        </w:tc>
        <w:tc>
          <w:tcPr>
            <w:tcW w:w="2765" w:type="dxa"/>
            <w:noWrap w:val="0"/>
            <w:vAlign w:val="center"/>
          </w:tcPr>
          <w:p w14:paraId="625DD279">
            <w:pPr>
              <w:pStyle w:val="283"/>
              <w:shd w:val="clear" w:color="auto" w:fill="auto"/>
              <w:spacing w:line="560" w:lineRule="exact"/>
              <w:jc w:val="center"/>
              <w:rPr>
                <w:rFonts w:ascii="仿宋_GB2312" w:eastAsia="仿宋_GB2312"/>
                <w:color w:val="auto"/>
                <w:sz w:val="24"/>
                <w:highlight w:val="none"/>
              </w:rPr>
            </w:pPr>
          </w:p>
        </w:tc>
      </w:tr>
      <w:tr w14:paraId="0E64A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5DEF0C26">
            <w:pPr>
              <w:pStyle w:val="283"/>
              <w:shd w:val="clear" w:color="auto" w:fill="auto"/>
              <w:spacing w:line="560" w:lineRule="exact"/>
              <w:jc w:val="center"/>
              <w:rPr>
                <w:rFonts w:ascii="仿宋_GB2312" w:eastAsia="仿宋_GB2312"/>
                <w:color w:val="auto"/>
                <w:sz w:val="24"/>
                <w:highlight w:val="none"/>
              </w:rPr>
            </w:pPr>
          </w:p>
        </w:tc>
        <w:tc>
          <w:tcPr>
            <w:tcW w:w="2351" w:type="dxa"/>
            <w:noWrap w:val="0"/>
            <w:vAlign w:val="center"/>
          </w:tcPr>
          <w:p w14:paraId="4869CCD6">
            <w:pPr>
              <w:pStyle w:val="283"/>
              <w:shd w:val="clear" w:color="auto" w:fill="auto"/>
              <w:spacing w:line="560" w:lineRule="exact"/>
              <w:jc w:val="center"/>
              <w:rPr>
                <w:rFonts w:ascii="仿宋_GB2312" w:eastAsia="仿宋_GB2312"/>
                <w:color w:val="auto"/>
                <w:sz w:val="24"/>
                <w:highlight w:val="none"/>
              </w:rPr>
            </w:pPr>
          </w:p>
        </w:tc>
        <w:tc>
          <w:tcPr>
            <w:tcW w:w="2601" w:type="dxa"/>
            <w:noWrap w:val="0"/>
            <w:vAlign w:val="center"/>
          </w:tcPr>
          <w:p w14:paraId="75333654">
            <w:pPr>
              <w:pStyle w:val="283"/>
              <w:shd w:val="clear" w:color="auto" w:fill="auto"/>
              <w:spacing w:line="560" w:lineRule="exact"/>
              <w:jc w:val="center"/>
              <w:rPr>
                <w:rFonts w:ascii="仿宋_GB2312" w:eastAsia="仿宋_GB2312"/>
                <w:color w:val="auto"/>
                <w:sz w:val="24"/>
                <w:highlight w:val="none"/>
              </w:rPr>
            </w:pPr>
          </w:p>
        </w:tc>
        <w:tc>
          <w:tcPr>
            <w:tcW w:w="2765" w:type="dxa"/>
            <w:noWrap w:val="0"/>
            <w:vAlign w:val="center"/>
          </w:tcPr>
          <w:p w14:paraId="70CA4BF0">
            <w:pPr>
              <w:pStyle w:val="283"/>
              <w:shd w:val="clear" w:color="auto" w:fill="auto"/>
              <w:spacing w:line="560" w:lineRule="exact"/>
              <w:jc w:val="center"/>
              <w:rPr>
                <w:rFonts w:ascii="仿宋_GB2312" w:eastAsia="仿宋_GB2312"/>
                <w:color w:val="auto"/>
                <w:sz w:val="24"/>
                <w:highlight w:val="none"/>
              </w:rPr>
            </w:pPr>
          </w:p>
        </w:tc>
      </w:tr>
      <w:tr w14:paraId="3C24F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142255F3">
            <w:pPr>
              <w:pStyle w:val="283"/>
              <w:shd w:val="clear" w:color="auto" w:fill="auto"/>
              <w:spacing w:line="560" w:lineRule="exact"/>
              <w:jc w:val="center"/>
              <w:rPr>
                <w:rFonts w:ascii="仿宋_GB2312" w:eastAsia="仿宋_GB2312"/>
                <w:color w:val="auto"/>
                <w:sz w:val="24"/>
                <w:highlight w:val="none"/>
              </w:rPr>
            </w:pPr>
          </w:p>
        </w:tc>
        <w:tc>
          <w:tcPr>
            <w:tcW w:w="2351" w:type="dxa"/>
            <w:noWrap w:val="0"/>
            <w:vAlign w:val="center"/>
          </w:tcPr>
          <w:p w14:paraId="47E8CB66">
            <w:pPr>
              <w:pStyle w:val="283"/>
              <w:shd w:val="clear" w:color="auto" w:fill="auto"/>
              <w:spacing w:line="560" w:lineRule="exact"/>
              <w:jc w:val="center"/>
              <w:rPr>
                <w:rFonts w:ascii="仿宋_GB2312" w:eastAsia="仿宋_GB2312"/>
                <w:color w:val="auto"/>
                <w:sz w:val="24"/>
                <w:highlight w:val="none"/>
              </w:rPr>
            </w:pPr>
          </w:p>
        </w:tc>
        <w:tc>
          <w:tcPr>
            <w:tcW w:w="2601" w:type="dxa"/>
            <w:noWrap w:val="0"/>
            <w:vAlign w:val="center"/>
          </w:tcPr>
          <w:p w14:paraId="7DBACDCD">
            <w:pPr>
              <w:pStyle w:val="283"/>
              <w:shd w:val="clear" w:color="auto" w:fill="auto"/>
              <w:spacing w:line="560" w:lineRule="exact"/>
              <w:jc w:val="center"/>
              <w:rPr>
                <w:rFonts w:ascii="仿宋_GB2312" w:eastAsia="仿宋_GB2312"/>
                <w:color w:val="auto"/>
                <w:sz w:val="24"/>
                <w:highlight w:val="none"/>
              </w:rPr>
            </w:pPr>
          </w:p>
        </w:tc>
        <w:tc>
          <w:tcPr>
            <w:tcW w:w="2765" w:type="dxa"/>
            <w:noWrap w:val="0"/>
            <w:vAlign w:val="center"/>
          </w:tcPr>
          <w:p w14:paraId="44FA903D">
            <w:pPr>
              <w:pStyle w:val="283"/>
              <w:shd w:val="clear" w:color="auto" w:fill="auto"/>
              <w:spacing w:line="560" w:lineRule="exact"/>
              <w:jc w:val="center"/>
              <w:rPr>
                <w:rFonts w:ascii="仿宋_GB2312" w:eastAsia="仿宋_GB2312"/>
                <w:color w:val="auto"/>
                <w:sz w:val="24"/>
                <w:highlight w:val="none"/>
              </w:rPr>
            </w:pPr>
          </w:p>
        </w:tc>
      </w:tr>
      <w:tr w14:paraId="4A3F5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44894D52">
            <w:pPr>
              <w:pStyle w:val="283"/>
              <w:shd w:val="clear" w:color="auto" w:fill="auto"/>
              <w:spacing w:line="560" w:lineRule="exact"/>
              <w:jc w:val="center"/>
              <w:rPr>
                <w:rFonts w:ascii="仿宋_GB2312" w:eastAsia="仿宋_GB2312"/>
                <w:color w:val="auto"/>
                <w:sz w:val="24"/>
                <w:highlight w:val="none"/>
              </w:rPr>
            </w:pPr>
          </w:p>
        </w:tc>
        <w:tc>
          <w:tcPr>
            <w:tcW w:w="2351" w:type="dxa"/>
            <w:noWrap w:val="0"/>
            <w:vAlign w:val="center"/>
          </w:tcPr>
          <w:p w14:paraId="590585B5">
            <w:pPr>
              <w:pStyle w:val="283"/>
              <w:shd w:val="clear" w:color="auto" w:fill="auto"/>
              <w:spacing w:line="560" w:lineRule="exact"/>
              <w:jc w:val="center"/>
              <w:rPr>
                <w:rFonts w:ascii="仿宋_GB2312" w:eastAsia="仿宋_GB2312"/>
                <w:color w:val="auto"/>
                <w:sz w:val="24"/>
                <w:highlight w:val="none"/>
              </w:rPr>
            </w:pPr>
          </w:p>
        </w:tc>
        <w:tc>
          <w:tcPr>
            <w:tcW w:w="2601" w:type="dxa"/>
            <w:noWrap w:val="0"/>
            <w:vAlign w:val="center"/>
          </w:tcPr>
          <w:p w14:paraId="6780CCA3">
            <w:pPr>
              <w:pStyle w:val="283"/>
              <w:shd w:val="clear" w:color="auto" w:fill="auto"/>
              <w:spacing w:line="560" w:lineRule="exact"/>
              <w:jc w:val="center"/>
              <w:rPr>
                <w:rFonts w:ascii="仿宋_GB2312" w:eastAsia="仿宋_GB2312"/>
                <w:color w:val="auto"/>
                <w:sz w:val="24"/>
                <w:highlight w:val="none"/>
              </w:rPr>
            </w:pPr>
          </w:p>
        </w:tc>
        <w:tc>
          <w:tcPr>
            <w:tcW w:w="2765" w:type="dxa"/>
            <w:noWrap w:val="0"/>
            <w:vAlign w:val="center"/>
          </w:tcPr>
          <w:p w14:paraId="08359661">
            <w:pPr>
              <w:pStyle w:val="283"/>
              <w:shd w:val="clear" w:color="auto" w:fill="auto"/>
              <w:spacing w:line="560" w:lineRule="exact"/>
              <w:jc w:val="center"/>
              <w:rPr>
                <w:rFonts w:ascii="仿宋_GB2312" w:eastAsia="仿宋_GB2312"/>
                <w:color w:val="auto"/>
                <w:sz w:val="24"/>
                <w:highlight w:val="none"/>
              </w:rPr>
            </w:pPr>
          </w:p>
        </w:tc>
      </w:tr>
      <w:tr w14:paraId="416B2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052DDC33">
            <w:pPr>
              <w:pStyle w:val="283"/>
              <w:shd w:val="clear" w:color="auto" w:fill="auto"/>
              <w:spacing w:line="560" w:lineRule="exact"/>
              <w:jc w:val="center"/>
              <w:rPr>
                <w:rFonts w:ascii="仿宋_GB2312" w:eastAsia="仿宋_GB2312"/>
                <w:color w:val="auto"/>
                <w:sz w:val="24"/>
                <w:highlight w:val="none"/>
              </w:rPr>
            </w:pPr>
          </w:p>
        </w:tc>
        <w:tc>
          <w:tcPr>
            <w:tcW w:w="2351" w:type="dxa"/>
            <w:noWrap w:val="0"/>
            <w:vAlign w:val="center"/>
          </w:tcPr>
          <w:p w14:paraId="31C88356">
            <w:pPr>
              <w:pStyle w:val="283"/>
              <w:shd w:val="clear" w:color="auto" w:fill="auto"/>
              <w:spacing w:line="560" w:lineRule="exact"/>
              <w:jc w:val="center"/>
              <w:rPr>
                <w:rFonts w:ascii="仿宋_GB2312" w:eastAsia="仿宋_GB2312"/>
                <w:color w:val="auto"/>
                <w:sz w:val="24"/>
                <w:highlight w:val="none"/>
              </w:rPr>
            </w:pPr>
          </w:p>
        </w:tc>
        <w:tc>
          <w:tcPr>
            <w:tcW w:w="2601" w:type="dxa"/>
            <w:noWrap w:val="0"/>
            <w:vAlign w:val="center"/>
          </w:tcPr>
          <w:p w14:paraId="6A326D9D">
            <w:pPr>
              <w:pStyle w:val="283"/>
              <w:shd w:val="clear" w:color="auto" w:fill="auto"/>
              <w:spacing w:line="560" w:lineRule="exact"/>
              <w:jc w:val="center"/>
              <w:rPr>
                <w:rFonts w:ascii="仿宋_GB2312" w:eastAsia="仿宋_GB2312"/>
                <w:color w:val="auto"/>
                <w:sz w:val="24"/>
                <w:highlight w:val="none"/>
              </w:rPr>
            </w:pPr>
          </w:p>
        </w:tc>
        <w:tc>
          <w:tcPr>
            <w:tcW w:w="2765" w:type="dxa"/>
            <w:noWrap w:val="0"/>
            <w:vAlign w:val="center"/>
          </w:tcPr>
          <w:p w14:paraId="33A5CCFC">
            <w:pPr>
              <w:pStyle w:val="283"/>
              <w:shd w:val="clear" w:color="auto" w:fill="auto"/>
              <w:spacing w:line="560" w:lineRule="exact"/>
              <w:jc w:val="center"/>
              <w:rPr>
                <w:rFonts w:ascii="仿宋_GB2312" w:eastAsia="仿宋_GB2312"/>
                <w:color w:val="auto"/>
                <w:sz w:val="24"/>
                <w:highlight w:val="none"/>
              </w:rPr>
            </w:pPr>
          </w:p>
        </w:tc>
      </w:tr>
      <w:tr w14:paraId="338D0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37823246">
            <w:pPr>
              <w:pStyle w:val="283"/>
              <w:shd w:val="clear" w:color="auto" w:fill="auto"/>
              <w:spacing w:line="560" w:lineRule="exact"/>
              <w:jc w:val="center"/>
              <w:rPr>
                <w:rFonts w:ascii="仿宋_GB2312" w:eastAsia="仿宋_GB2312"/>
                <w:color w:val="auto"/>
                <w:sz w:val="24"/>
                <w:highlight w:val="none"/>
              </w:rPr>
            </w:pPr>
          </w:p>
        </w:tc>
        <w:tc>
          <w:tcPr>
            <w:tcW w:w="2351" w:type="dxa"/>
            <w:noWrap w:val="0"/>
            <w:vAlign w:val="center"/>
          </w:tcPr>
          <w:p w14:paraId="426CEE97">
            <w:pPr>
              <w:pStyle w:val="283"/>
              <w:shd w:val="clear" w:color="auto" w:fill="auto"/>
              <w:spacing w:line="560" w:lineRule="exact"/>
              <w:jc w:val="center"/>
              <w:rPr>
                <w:rFonts w:ascii="仿宋_GB2312" w:eastAsia="仿宋_GB2312"/>
                <w:color w:val="auto"/>
                <w:sz w:val="24"/>
                <w:highlight w:val="none"/>
              </w:rPr>
            </w:pPr>
          </w:p>
        </w:tc>
        <w:tc>
          <w:tcPr>
            <w:tcW w:w="2601" w:type="dxa"/>
            <w:noWrap w:val="0"/>
            <w:vAlign w:val="center"/>
          </w:tcPr>
          <w:p w14:paraId="3EBFD436">
            <w:pPr>
              <w:pStyle w:val="283"/>
              <w:shd w:val="clear" w:color="auto" w:fill="auto"/>
              <w:spacing w:line="560" w:lineRule="exact"/>
              <w:jc w:val="center"/>
              <w:rPr>
                <w:rFonts w:ascii="仿宋_GB2312" w:eastAsia="仿宋_GB2312"/>
                <w:color w:val="auto"/>
                <w:sz w:val="24"/>
                <w:highlight w:val="none"/>
              </w:rPr>
            </w:pPr>
          </w:p>
        </w:tc>
        <w:tc>
          <w:tcPr>
            <w:tcW w:w="2765" w:type="dxa"/>
            <w:noWrap w:val="0"/>
            <w:vAlign w:val="center"/>
          </w:tcPr>
          <w:p w14:paraId="4A8DDCE0">
            <w:pPr>
              <w:pStyle w:val="283"/>
              <w:shd w:val="clear" w:color="auto" w:fill="auto"/>
              <w:spacing w:line="560" w:lineRule="exact"/>
              <w:jc w:val="center"/>
              <w:rPr>
                <w:rFonts w:ascii="仿宋_GB2312" w:eastAsia="仿宋_GB2312"/>
                <w:color w:val="auto"/>
                <w:sz w:val="24"/>
                <w:highlight w:val="none"/>
              </w:rPr>
            </w:pPr>
          </w:p>
        </w:tc>
      </w:tr>
      <w:tr w14:paraId="67139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10207DE2">
            <w:pPr>
              <w:pStyle w:val="283"/>
              <w:shd w:val="clear" w:color="auto" w:fill="auto"/>
              <w:spacing w:line="560" w:lineRule="exact"/>
              <w:jc w:val="center"/>
              <w:rPr>
                <w:rFonts w:ascii="仿宋_GB2312" w:eastAsia="仿宋_GB2312"/>
                <w:color w:val="auto"/>
                <w:sz w:val="24"/>
                <w:highlight w:val="none"/>
              </w:rPr>
            </w:pPr>
          </w:p>
        </w:tc>
        <w:tc>
          <w:tcPr>
            <w:tcW w:w="2351" w:type="dxa"/>
            <w:noWrap w:val="0"/>
            <w:vAlign w:val="center"/>
          </w:tcPr>
          <w:p w14:paraId="37CDF8B8">
            <w:pPr>
              <w:pStyle w:val="283"/>
              <w:shd w:val="clear" w:color="auto" w:fill="auto"/>
              <w:spacing w:line="560" w:lineRule="exact"/>
              <w:jc w:val="center"/>
              <w:rPr>
                <w:rFonts w:ascii="仿宋_GB2312" w:eastAsia="仿宋_GB2312"/>
                <w:color w:val="auto"/>
                <w:sz w:val="24"/>
                <w:highlight w:val="none"/>
              </w:rPr>
            </w:pPr>
          </w:p>
        </w:tc>
        <w:tc>
          <w:tcPr>
            <w:tcW w:w="2601" w:type="dxa"/>
            <w:noWrap w:val="0"/>
            <w:vAlign w:val="center"/>
          </w:tcPr>
          <w:p w14:paraId="6F49A03F">
            <w:pPr>
              <w:pStyle w:val="283"/>
              <w:shd w:val="clear" w:color="auto" w:fill="auto"/>
              <w:spacing w:line="560" w:lineRule="exact"/>
              <w:jc w:val="center"/>
              <w:rPr>
                <w:rFonts w:ascii="仿宋_GB2312" w:eastAsia="仿宋_GB2312"/>
                <w:color w:val="auto"/>
                <w:sz w:val="24"/>
                <w:highlight w:val="none"/>
              </w:rPr>
            </w:pPr>
          </w:p>
        </w:tc>
        <w:tc>
          <w:tcPr>
            <w:tcW w:w="2765" w:type="dxa"/>
            <w:noWrap w:val="0"/>
            <w:vAlign w:val="center"/>
          </w:tcPr>
          <w:p w14:paraId="66C7A00B">
            <w:pPr>
              <w:pStyle w:val="283"/>
              <w:shd w:val="clear" w:color="auto" w:fill="auto"/>
              <w:spacing w:line="560" w:lineRule="exact"/>
              <w:jc w:val="center"/>
              <w:rPr>
                <w:rFonts w:ascii="仿宋_GB2312" w:eastAsia="仿宋_GB2312"/>
                <w:color w:val="auto"/>
                <w:sz w:val="24"/>
                <w:highlight w:val="none"/>
              </w:rPr>
            </w:pPr>
          </w:p>
        </w:tc>
      </w:tr>
      <w:tr w14:paraId="70BDC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noWrap w:val="0"/>
            <w:vAlign w:val="center"/>
          </w:tcPr>
          <w:p w14:paraId="0E82E285">
            <w:pPr>
              <w:pStyle w:val="283"/>
              <w:shd w:val="clear" w:color="auto" w:fill="auto"/>
              <w:spacing w:line="560" w:lineRule="exact"/>
              <w:jc w:val="center"/>
              <w:rPr>
                <w:rFonts w:ascii="仿宋_GB2312" w:eastAsia="仿宋_GB2312"/>
                <w:color w:val="auto"/>
                <w:sz w:val="24"/>
                <w:highlight w:val="none"/>
              </w:rPr>
            </w:pPr>
          </w:p>
        </w:tc>
        <w:tc>
          <w:tcPr>
            <w:tcW w:w="2351" w:type="dxa"/>
            <w:noWrap w:val="0"/>
            <w:vAlign w:val="center"/>
          </w:tcPr>
          <w:p w14:paraId="0AACEF43">
            <w:pPr>
              <w:pStyle w:val="283"/>
              <w:shd w:val="clear" w:color="auto" w:fill="auto"/>
              <w:spacing w:line="560" w:lineRule="exact"/>
              <w:jc w:val="center"/>
              <w:rPr>
                <w:rFonts w:ascii="仿宋_GB2312" w:eastAsia="仿宋_GB2312"/>
                <w:color w:val="auto"/>
                <w:sz w:val="24"/>
                <w:highlight w:val="none"/>
              </w:rPr>
            </w:pPr>
          </w:p>
        </w:tc>
        <w:tc>
          <w:tcPr>
            <w:tcW w:w="2601" w:type="dxa"/>
            <w:noWrap w:val="0"/>
            <w:vAlign w:val="center"/>
          </w:tcPr>
          <w:p w14:paraId="25CF7969">
            <w:pPr>
              <w:pStyle w:val="283"/>
              <w:shd w:val="clear" w:color="auto" w:fill="auto"/>
              <w:spacing w:line="560" w:lineRule="exact"/>
              <w:jc w:val="center"/>
              <w:rPr>
                <w:rFonts w:ascii="仿宋_GB2312" w:eastAsia="仿宋_GB2312"/>
                <w:color w:val="auto"/>
                <w:sz w:val="24"/>
                <w:highlight w:val="none"/>
              </w:rPr>
            </w:pPr>
          </w:p>
        </w:tc>
        <w:tc>
          <w:tcPr>
            <w:tcW w:w="2765" w:type="dxa"/>
            <w:noWrap w:val="0"/>
            <w:vAlign w:val="center"/>
          </w:tcPr>
          <w:p w14:paraId="08E91A1E">
            <w:pPr>
              <w:pStyle w:val="283"/>
              <w:shd w:val="clear" w:color="auto" w:fill="auto"/>
              <w:spacing w:line="560" w:lineRule="exact"/>
              <w:jc w:val="center"/>
              <w:rPr>
                <w:rFonts w:ascii="仿宋_GB2312" w:eastAsia="仿宋_GB2312"/>
                <w:color w:val="auto"/>
                <w:sz w:val="24"/>
                <w:highlight w:val="none"/>
              </w:rPr>
            </w:pPr>
          </w:p>
        </w:tc>
      </w:tr>
      <w:tr w14:paraId="714E2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1201" w:type="dxa"/>
            <w:noWrap w:val="0"/>
            <w:vAlign w:val="center"/>
          </w:tcPr>
          <w:p w14:paraId="256F0BCC">
            <w:pPr>
              <w:pStyle w:val="283"/>
              <w:shd w:val="clear" w:color="auto" w:fill="auto"/>
              <w:spacing w:line="560" w:lineRule="exact"/>
              <w:jc w:val="center"/>
              <w:rPr>
                <w:rFonts w:ascii="仿宋_GB2312" w:eastAsia="仿宋_GB2312"/>
                <w:color w:val="auto"/>
                <w:sz w:val="24"/>
                <w:highlight w:val="none"/>
              </w:rPr>
            </w:pPr>
          </w:p>
        </w:tc>
        <w:tc>
          <w:tcPr>
            <w:tcW w:w="2351" w:type="dxa"/>
            <w:noWrap w:val="0"/>
            <w:vAlign w:val="center"/>
          </w:tcPr>
          <w:p w14:paraId="2A79760B">
            <w:pPr>
              <w:pStyle w:val="283"/>
              <w:shd w:val="clear" w:color="auto" w:fill="auto"/>
              <w:spacing w:line="560" w:lineRule="exact"/>
              <w:jc w:val="center"/>
              <w:rPr>
                <w:rFonts w:ascii="仿宋_GB2312" w:eastAsia="仿宋_GB2312"/>
                <w:color w:val="auto"/>
                <w:sz w:val="24"/>
                <w:highlight w:val="none"/>
              </w:rPr>
            </w:pPr>
          </w:p>
        </w:tc>
        <w:tc>
          <w:tcPr>
            <w:tcW w:w="2601" w:type="dxa"/>
            <w:noWrap w:val="0"/>
            <w:vAlign w:val="center"/>
          </w:tcPr>
          <w:p w14:paraId="3CFC2437">
            <w:pPr>
              <w:pStyle w:val="283"/>
              <w:shd w:val="clear" w:color="auto" w:fill="auto"/>
              <w:spacing w:line="560" w:lineRule="exact"/>
              <w:jc w:val="center"/>
              <w:rPr>
                <w:rFonts w:ascii="仿宋_GB2312" w:eastAsia="仿宋_GB2312"/>
                <w:color w:val="auto"/>
                <w:sz w:val="24"/>
                <w:highlight w:val="none"/>
              </w:rPr>
            </w:pPr>
          </w:p>
        </w:tc>
        <w:tc>
          <w:tcPr>
            <w:tcW w:w="2765" w:type="dxa"/>
            <w:noWrap w:val="0"/>
            <w:vAlign w:val="center"/>
          </w:tcPr>
          <w:p w14:paraId="6C98E131">
            <w:pPr>
              <w:pStyle w:val="283"/>
              <w:shd w:val="clear" w:color="auto" w:fill="auto"/>
              <w:spacing w:line="560" w:lineRule="exact"/>
              <w:jc w:val="center"/>
              <w:rPr>
                <w:rFonts w:ascii="仿宋_GB2312" w:eastAsia="仿宋_GB2312"/>
                <w:color w:val="auto"/>
                <w:sz w:val="24"/>
                <w:highlight w:val="none"/>
              </w:rPr>
            </w:pPr>
          </w:p>
        </w:tc>
      </w:tr>
    </w:tbl>
    <w:p w14:paraId="43375E12">
      <w:pPr>
        <w:pStyle w:val="283"/>
        <w:shd w:val="clear" w:color="auto" w:fill="auto"/>
        <w:jc w:val="center"/>
        <w:rPr>
          <w:rFonts w:hint="eastAsia"/>
          <w:color w:val="auto"/>
          <w:sz w:val="22"/>
          <w:highlight w:val="none"/>
        </w:rPr>
      </w:pPr>
    </w:p>
    <w:p w14:paraId="6EFCB463">
      <w:pPr>
        <w:pStyle w:val="345"/>
        <w:shd w:val="clear" w:color="auto" w:fill="auto"/>
        <w:spacing w:line="700" w:lineRule="exact"/>
        <w:ind w:firstLine="629"/>
        <w:rPr>
          <w:rFonts w:hint="eastAsia"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55838B17">
      <w:pPr>
        <w:pStyle w:val="345"/>
        <w:shd w:val="clear" w:color="auto" w:fill="auto"/>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5166070C">
      <w:pPr>
        <w:pStyle w:val="282"/>
        <w:shd w:val="clear" w:color="auto" w:fill="auto"/>
        <w:ind w:firstLine="482"/>
        <w:rPr>
          <w:rFonts w:hint="eastAsia" w:hAnsi="宋体"/>
          <w:b/>
          <w:bCs/>
          <w:color w:val="auto"/>
          <w:sz w:val="24"/>
          <w:szCs w:val="28"/>
          <w:highlight w:val="none"/>
        </w:rPr>
      </w:pPr>
    </w:p>
    <w:p w14:paraId="100F7FB8">
      <w:pPr>
        <w:pStyle w:val="282"/>
        <w:shd w:val="clear" w:color="auto" w:fill="auto"/>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1、凡投标文件中所投货物或服务与招标文件有偏差的（包括正偏差，负偏差），均应在此表中详细列出并说明理由。第四部分技术要求须逐条应答。</w:t>
      </w:r>
    </w:p>
    <w:p w14:paraId="2A6B7FA5">
      <w:pPr>
        <w:pStyle w:val="283"/>
        <w:shd w:val="clear" w:color="auto" w:fill="auto"/>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2、投标人所投产品如与招标文件要求的规格及配置不一致，则须在上表偏离说明中详细注明。</w:t>
      </w:r>
    </w:p>
    <w:p w14:paraId="359D8CDE">
      <w:pPr>
        <w:pStyle w:val="490"/>
        <w:shd w:val="clear" w:color="auto" w:fill="auto"/>
        <w:rPr>
          <w:rFonts w:hint="eastAsia"/>
          <w:color w:val="auto"/>
          <w:highlight w:val="none"/>
        </w:rPr>
      </w:pPr>
      <w:r>
        <w:rPr>
          <w:rFonts w:hint="eastAsia" w:ascii="宋体" w:hAnsi="宋体"/>
          <w:b/>
          <w:bCs/>
          <w:color w:val="auto"/>
          <w:sz w:val="24"/>
          <w:szCs w:val="28"/>
          <w:highlight w:val="none"/>
        </w:rPr>
        <w:t>3、响应部分可后附详细说明及技术资料，并注明投标文件中对应的页码范围。</w:t>
      </w:r>
    </w:p>
    <w:p w14:paraId="6BBB31D7">
      <w:pPr>
        <w:pStyle w:val="611"/>
        <w:shd w:val="clear" w:color="auto" w:fill="auto"/>
        <w:jc w:val="center"/>
        <w:rPr>
          <w:rFonts w:hint="eastAsia"/>
          <w:color w:val="auto"/>
          <w:highlight w:val="none"/>
        </w:rPr>
      </w:pPr>
    </w:p>
    <w:p w14:paraId="5029A740">
      <w:pPr>
        <w:pStyle w:val="611"/>
        <w:shd w:val="clear" w:color="auto" w:fill="auto"/>
        <w:jc w:val="center"/>
        <w:rPr>
          <w:rFonts w:hint="eastAsia"/>
          <w:color w:val="auto"/>
          <w:highlight w:val="none"/>
        </w:rPr>
      </w:pPr>
    </w:p>
    <w:p w14:paraId="48AB17EA">
      <w:pPr>
        <w:pStyle w:val="611"/>
        <w:shd w:val="clear" w:color="auto" w:fill="auto"/>
        <w:jc w:val="both"/>
        <w:rPr>
          <w:rFonts w:hint="eastAsia"/>
          <w:color w:val="auto"/>
          <w:highlight w:val="none"/>
        </w:rPr>
      </w:pPr>
    </w:p>
    <w:p w14:paraId="27AEDE53">
      <w:pPr>
        <w:pStyle w:val="611"/>
        <w:shd w:val="clear" w:color="auto" w:fill="auto"/>
        <w:jc w:val="center"/>
        <w:rPr>
          <w:rFonts w:hint="eastAsia"/>
          <w:color w:val="auto"/>
          <w:highlight w:val="none"/>
        </w:rPr>
      </w:pPr>
    </w:p>
    <w:p w14:paraId="6EC210DC">
      <w:pPr>
        <w:pStyle w:val="611"/>
        <w:shd w:val="clear" w:color="auto" w:fill="auto"/>
        <w:jc w:val="center"/>
        <w:outlineLvl w:val="1"/>
        <w:rPr>
          <w:rFonts w:hint="eastAsia"/>
          <w:color w:val="auto"/>
          <w:highlight w:val="none"/>
        </w:rPr>
      </w:pPr>
      <w:bookmarkStart w:id="136" w:name="_Toc3171_WPSOffice_Level2"/>
      <w:bookmarkStart w:id="137" w:name="_Toc9396"/>
      <w:bookmarkStart w:id="138" w:name="_Toc514054498"/>
      <w:r>
        <w:rPr>
          <w:rFonts w:hint="eastAsia"/>
          <w:color w:val="auto"/>
          <w:highlight w:val="none"/>
          <w:lang w:eastAsia="zh-CN"/>
        </w:rPr>
        <w:t>（二）投标商务偏离表</w:t>
      </w:r>
      <w:bookmarkEnd w:id="136"/>
      <w:bookmarkEnd w:id="137"/>
      <w:bookmarkEnd w:id="138"/>
    </w:p>
    <w:tbl>
      <w:tblPr>
        <w:tblStyle w:val="31"/>
        <w:tblW w:w="85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43"/>
        <w:gridCol w:w="2682"/>
        <w:gridCol w:w="2682"/>
      </w:tblGrid>
      <w:tr w14:paraId="605B4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4920C371">
            <w:pPr>
              <w:pStyle w:val="283"/>
              <w:widowControl/>
              <w:shd w:val="clear" w:color="auto" w:fill="auto"/>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82" w:type="dxa"/>
            <w:noWrap w:val="0"/>
            <w:vAlign w:val="center"/>
          </w:tcPr>
          <w:p w14:paraId="41325E9D">
            <w:pPr>
              <w:pStyle w:val="283"/>
              <w:widowControl/>
              <w:shd w:val="clear" w:color="auto" w:fill="auto"/>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682" w:type="dxa"/>
            <w:noWrap w:val="0"/>
            <w:vAlign w:val="center"/>
          </w:tcPr>
          <w:p w14:paraId="50E30D3B">
            <w:pPr>
              <w:pStyle w:val="283"/>
              <w:widowControl/>
              <w:shd w:val="clear" w:color="auto" w:fill="auto"/>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r>
      <w:tr w14:paraId="46DD0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49A89589">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4877D80F">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51F8A5E1">
            <w:pPr>
              <w:pStyle w:val="283"/>
              <w:shd w:val="clear" w:color="auto" w:fill="auto"/>
              <w:spacing w:line="560" w:lineRule="exact"/>
              <w:jc w:val="center"/>
              <w:rPr>
                <w:rFonts w:ascii="仿宋_GB2312" w:eastAsia="仿宋_GB2312"/>
                <w:color w:val="auto"/>
                <w:sz w:val="24"/>
                <w:highlight w:val="none"/>
              </w:rPr>
            </w:pPr>
          </w:p>
        </w:tc>
      </w:tr>
      <w:tr w14:paraId="445FC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0DE02DA9">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17191EB8">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5175D5A8">
            <w:pPr>
              <w:pStyle w:val="283"/>
              <w:shd w:val="clear" w:color="auto" w:fill="auto"/>
              <w:spacing w:line="560" w:lineRule="exact"/>
              <w:jc w:val="center"/>
              <w:rPr>
                <w:rFonts w:ascii="仿宋_GB2312" w:eastAsia="仿宋_GB2312"/>
                <w:color w:val="auto"/>
                <w:sz w:val="24"/>
                <w:highlight w:val="none"/>
              </w:rPr>
            </w:pPr>
          </w:p>
        </w:tc>
      </w:tr>
      <w:tr w14:paraId="74056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44A42FA7">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611B1D1A">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591F2564">
            <w:pPr>
              <w:pStyle w:val="283"/>
              <w:shd w:val="clear" w:color="auto" w:fill="auto"/>
              <w:spacing w:line="560" w:lineRule="exact"/>
              <w:jc w:val="center"/>
              <w:rPr>
                <w:rFonts w:ascii="仿宋_GB2312" w:eastAsia="仿宋_GB2312"/>
                <w:color w:val="auto"/>
                <w:sz w:val="24"/>
                <w:highlight w:val="none"/>
              </w:rPr>
            </w:pPr>
          </w:p>
        </w:tc>
      </w:tr>
      <w:tr w14:paraId="40DDE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63968A6A">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761503A5">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0342A29E">
            <w:pPr>
              <w:pStyle w:val="283"/>
              <w:shd w:val="clear" w:color="auto" w:fill="auto"/>
              <w:spacing w:line="560" w:lineRule="exact"/>
              <w:jc w:val="center"/>
              <w:rPr>
                <w:rFonts w:ascii="仿宋_GB2312" w:eastAsia="仿宋_GB2312"/>
                <w:color w:val="auto"/>
                <w:sz w:val="24"/>
                <w:highlight w:val="none"/>
              </w:rPr>
            </w:pPr>
          </w:p>
        </w:tc>
      </w:tr>
      <w:tr w14:paraId="075BC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00E511EB">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72164102">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5C00B190">
            <w:pPr>
              <w:pStyle w:val="283"/>
              <w:shd w:val="clear" w:color="auto" w:fill="auto"/>
              <w:spacing w:line="560" w:lineRule="exact"/>
              <w:jc w:val="center"/>
              <w:rPr>
                <w:rFonts w:ascii="仿宋_GB2312" w:eastAsia="仿宋_GB2312"/>
                <w:color w:val="auto"/>
                <w:sz w:val="24"/>
                <w:highlight w:val="none"/>
              </w:rPr>
            </w:pPr>
          </w:p>
        </w:tc>
      </w:tr>
      <w:tr w14:paraId="46964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08EC3A53">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4951EE99">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50EA0228">
            <w:pPr>
              <w:pStyle w:val="283"/>
              <w:shd w:val="clear" w:color="auto" w:fill="auto"/>
              <w:spacing w:line="560" w:lineRule="exact"/>
              <w:jc w:val="center"/>
              <w:rPr>
                <w:rFonts w:ascii="仿宋_GB2312" w:eastAsia="仿宋_GB2312"/>
                <w:color w:val="auto"/>
                <w:sz w:val="24"/>
                <w:highlight w:val="none"/>
              </w:rPr>
            </w:pPr>
          </w:p>
        </w:tc>
      </w:tr>
      <w:tr w14:paraId="687A4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7ED13C38">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35281D93">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79373D00">
            <w:pPr>
              <w:pStyle w:val="283"/>
              <w:shd w:val="clear" w:color="auto" w:fill="auto"/>
              <w:spacing w:line="560" w:lineRule="exact"/>
              <w:jc w:val="center"/>
              <w:rPr>
                <w:rFonts w:ascii="仿宋_GB2312" w:eastAsia="仿宋_GB2312"/>
                <w:color w:val="auto"/>
                <w:sz w:val="24"/>
                <w:highlight w:val="none"/>
              </w:rPr>
            </w:pPr>
          </w:p>
        </w:tc>
      </w:tr>
      <w:tr w14:paraId="2BC81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1305F7A6">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666F2790">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0E405BC1">
            <w:pPr>
              <w:pStyle w:val="283"/>
              <w:shd w:val="clear" w:color="auto" w:fill="auto"/>
              <w:spacing w:line="560" w:lineRule="exact"/>
              <w:jc w:val="center"/>
              <w:rPr>
                <w:rFonts w:ascii="仿宋_GB2312" w:eastAsia="仿宋_GB2312"/>
                <w:color w:val="auto"/>
                <w:sz w:val="24"/>
                <w:highlight w:val="none"/>
              </w:rPr>
            </w:pPr>
          </w:p>
        </w:tc>
      </w:tr>
      <w:tr w14:paraId="4393E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7AF89892">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3183E780">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756F0845">
            <w:pPr>
              <w:pStyle w:val="283"/>
              <w:shd w:val="clear" w:color="auto" w:fill="auto"/>
              <w:spacing w:line="560" w:lineRule="exact"/>
              <w:jc w:val="center"/>
              <w:rPr>
                <w:rFonts w:ascii="仿宋_GB2312" w:eastAsia="仿宋_GB2312"/>
                <w:color w:val="auto"/>
                <w:sz w:val="24"/>
                <w:highlight w:val="none"/>
              </w:rPr>
            </w:pPr>
          </w:p>
        </w:tc>
      </w:tr>
      <w:tr w14:paraId="6583E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noWrap w:val="0"/>
            <w:vAlign w:val="center"/>
          </w:tcPr>
          <w:p w14:paraId="79C73862">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505529F1">
            <w:pPr>
              <w:pStyle w:val="283"/>
              <w:shd w:val="clear" w:color="auto" w:fill="auto"/>
              <w:spacing w:line="560" w:lineRule="exact"/>
              <w:jc w:val="center"/>
              <w:rPr>
                <w:rFonts w:ascii="仿宋_GB2312" w:eastAsia="仿宋_GB2312"/>
                <w:color w:val="auto"/>
                <w:sz w:val="24"/>
                <w:highlight w:val="none"/>
              </w:rPr>
            </w:pPr>
          </w:p>
        </w:tc>
        <w:tc>
          <w:tcPr>
            <w:tcW w:w="2682" w:type="dxa"/>
            <w:noWrap w:val="0"/>
            <w:vAlign w:val="center"/>
          </w:tcPr>
          <w:p w14:paraId="6D338CB3">
            <w:pPr>
              <w:pStyle w:val="283"/>
              <w:shd w:val="clear" w:color="auto" w:fill="auto"/>
              <w:spacing w:line="560" w:lineRule="exact"/>
              <w:jc w:val="center"/>
              <w:rPr>
                <w:rFonts w:ascii="仿宋_GB2312" w:eastAsia="仿宋_GB2312"/>
                <w:color w:val="auto"/>
                <w:sz w:val="24"/>
                <w:highlight w:val="none"/>
              </w:rPr>
            </w:pPr>
          </w:p>
        </w:tc>
      </w:tr>
    </w:tbl>
    <w:p w14:paraId="4C4FB45B">
      <w:pPr>
        <w:pStyle w:val="345"/>
        <w:shd w:val="clear" w:color="auto" w:fill="auto"/>
        <w:spacing w:line="700" w:lineRule="exact"/>
        <w:ind w:firstLine="629"/>
        <w:rPr>
          <w:rFonts w:hint="eastAsia"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8DC81B2">
      <w:pPr>
        <w:pStyle w:val="345"/>
        <w:shd w:val="clear" w:color="auto" w:fill="auto"/>
        <w:spacing w:line="700" w:lineRule="exact"/>
        <w:ind w:firstLine="629"/>
        <w:rPr>
          <w:rFonts w:hint="eastAsia"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05B17C33">
      <w:pPr>
        <w:pStyle w:val="345"/>
        <w:shd w:val="clear" w:color="auto" w:fill="auto"/>
        <w:spacing w:line="700" w:lineRule="exact"/>
        <w:ind w:firstLine="629"/>
        <w:rPr>
          <w:rFonts w:hint="eastAsia" w:ascii="仿宋_GB2312" w:eastAsia="仿宋_GB2312"/>
          <w:color w:val="auto"/>
          <w:sz w:val="24"/>
          <w:highlight w:val="none"/>
          <w:u w:val="single"/>
        </w:rPr>
      </w:pPr>
    </w:p>
    <w:p w14:paraId="3DF1EBF6">
      <w:pPr>
        <w:pStyle w:val="283"/>
        <w:shd w:val="clear" w:color="auto" w:fill="auto"/>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1、投标人商务条件如与招标文件要求的不一致，则须在上表偏离说明中详细注明。</w:t>
      </w:r>
    </w:p>
    <w:p w14:paraId="5343E8D8">
      <w:pPr>
        <w:pStyle w:val="611"/>
        <w:shd w:val="clear" w:color="auto" w:fill="auto"/>
        <w:outlineLvl w:val="1"/>
        <w:rPr>
          <w:color w:val="auto"/>
          <w:highlight w:val="none"/>
        </w:rPr>
      </w:pPr>
      <w:bookmarkStart w:id="139" w:name="_Toc514054500"/>
      <w:r>
        <w:rPr>
          <w:color w:val="auto"/>
          <w:highlight w:val="none"/>
        </w:rPr>
        <w:br w:type="page" w:clear="all"/>
      </w:r>
      <w:bookmarkStart w:id="140" w:name="_Toc14591"/>
      <w:r>
        <w:rPr>
          <w:color w:val="auto"/>
          <w:highlight w:val="none"/>
        </w:rPr>
        <w:t>十三、所投产品技术资料或样本等</w:t>
      </w:r>
      <w:bookmarkEnd w:id="139"/>
      <w:bookmarkEnd w:id="140"/>
    </w:p>
    <w:p w14:paraId="541B74CB">
      <w:pPr>
        <w:pStyle w:val="346"/>
        <w:shd w:val="clear" w:color="auto" w:fill="auto"/>
        <w:rPr>
          <w:rFonts w:hint="eastAsia"/>
          <w:color w:val="auto"/>
          <w:szCs w:val="21"/>
          <w:highlight w:val="none"/>
        </w:rPr>
      </w:pPr>
      <w:r>
        <w:rPr>
          <w:rFonts w:hint="eastAsia" w:ascii="宋体"/>
          <w:bCs/>
          <w:color w:val="auto"/>
          <w:szCs w:val="21"/>
          <w:highlight w:val="none"/>
        </w:rPr>
        <w:t>格式自拟，可附相关产品技术彩页</w:t>
      </w:r>
    </w:p>
    <w:p w14:paraId="6933B54C">
      <w:pPr>
        <w:pStyle w:val="379"/>
        <w:shd w:val="clear" w:color="auto" w:fill="auto"/>
        <w:outlineLvl w:val="1"/>
        <w:rPr>
          <w:color w:val="auto"/>
          <w:highlight w:val="none"/>
        </w:rPr>
      </w:pPr>
      <w:r>
        <w:rPr>
          <w:color w:val="auto"/>
          <w:highlight w:val="none"/>
        </w:rPr>
        <w:br w:type="page" w:clear="all"/>
      </w:r>
      <w:bookmarkStart w:id="141" w:name="_Toc23522_WPSOffice_Level2"/>
      <w:bookmarkStart w:id="142" w:name="_Toc514054501"/>
      <w:bookmarkStart w:id="143" w:name="_Toc27623"/>
      <w:r>
        <w:rPr>
          <w:color w:val="auto"/>
          <w:highlight w:val="none"/>
        </w:rPr>
        <w:t>十四、主要部件、辅材明细表</w:t>
      </w:r>
      <w:bookmarkEnd w:id="141"/>
      <w:bookmarkEnd w:id="142"/>
      <w:bookmarkEnd w:id="143"/>
    </w:p>
    <w:p w14:paraId="0DA4E03D">
      <w:pPr>
        <w:pStyle w:val="452"/>
        <w:shd w:val="clear" w:color="auto" w:fill="auto"/>
        <w:rPr>
          <w:rFonts w:hint="eastAsia"/>
          <w:color w:val="auto"/>
          <w:highlight w:val="none"/>
        </w:rPr>
      </w:pPr>
    </w:p>
    <w:tbl>
      <w:tblPr>
        <w:tblStyle w:val="31"/>
        <w:tblpPr w:leftFromText="180" w:rightFromText="180" w:vertAnchor="text" w:horzAnchor="margin" w:tblpXSpec="left" w:tblpY="3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3"/>
        <w:gridCol w:w="1260"/>
        <w:gridCol w:w="1080"/>
        <w:gridCol w:w="1440"/>
        <w:gridCol w:w="1974"/>
        <w:gridCol w:w="1901"/>
      </w:tblGrid>
      <w:tr w14:paraId="264DA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08522B78">
            <w:pPr>
              <w:pStyle w:val="405"/>
              <w:widowControl/>
              <w:shd w:val="clear" w:color="auto" w:fill="auto"/>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主要部件及辅材</w:t>
            </w:r>
          </w:p>
        </w:tc>
        <w:tc>
          <w:tcPr>
            <w:tcW w:w="1260" w:type="dxa"/>
            <w:noWrap w:val="0"/>
            <w:vAlign w:val="center"/>
          </w:tcPr>
          <w:p w14:paraId="021B0F53">
            <w:pPr>
              <w:pStyle w:val="405"/>
              <w:widowControl/>
              <w:shd w:val="clear" w:color="auto" w:fill="auto"/>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品牌</w:t>
            </w:r>
          </w:p>
        </w:tc>
        <w:tc>
          <w:tcPr>
            <w:tcW w:w="1080" w:type="dxa"/>
            <w:noWrap w:val="0"/>
            <w:vAlign w:val="center"/>
          </w:tcPr>
          <w:p w14:paraId="60642B45">
            <w:pPr>
              <w:pStyle w:val="405"/>
              <w:widowControl/>
              <w:shd w:val="clear" w:color="auto" w:fill="auto"/>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产地</w:t>
            </w:r>
          </w:p>
        </w:tc>
        <w:tc>
          <w:tcPr>
            <w:tcW w:w="1440" w:type="dxa"/>
            <w:noWrap w:val="0"/>
            <w:vAlign w:val="center"/>
          </w:tcPr>
          <w:p w14:paraId="034B07BE">
            <w:pPr>
              <w:pStyle w:val="405"/>
              <w:widowControl/>
              <w:shd w:val="clear" w:color="auto" w:fill="auto"/>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生产厂家</w:t>
            </w:r>
          </w:p>
        </w:tc>
        <w:tc>
          <w:tcPr>
            <w:tcW w:w="1974" w:type="dxa"/>
            <w:noWrap w:val="0"/>
            <w:vAlign w:val="center"/>
          </w:tcPr>
          <w:p w14:paraId="44CA50F4">
            <w:pPr>
              <w:pStyle w:val="405"/>
              <w:widowControl/>
              <w:shd w:val="clear" w:color="auto" w:fill="auto"/>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主要技术参数</w:t>
            </w:r>
          </w:p>
        </w:tc>
        <w:tc>
          <w:tcPr>
            <w:tcW w:w="1901" w:type="dxa"/>
            <w:noWrap w:val="0"/>
            <w:vAlign w:val="center"/>
          </w:tcPr>
          <w:p w14:paraId="7669B0D3">
            <w:pPr>
              <w:pStyle w:val="405"/>
              <w:widowControl/>
              <w:shd w:val="clear" w:color="auto" w:fill="auto"/>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质保期满后优惠价格</w:t>
            </w:r>
          </w:p>
        </w:tc>
      </w:tr>
      <w:tr w14:paraId="756C9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1772508D">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center"/>
          </w:tcPr>
          <w:p w14:paraId="0ED5AD18">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080" w:type="dxa"/>
            <w:noWrap w:val="0"/>
            <w:vAlign w:val="top"/>
          </w:tcPr>
          <w:p w14:paraId="5EAAF515">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440" w:type="dxa"/>
            <w:noWrap w:val="0"/>
            <w:vAlign w:val="center"/>
          </w:tcPr>
          <w:p w14:paraId="5B3AB328">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74" w:type="dxa"/>
            <w:noWrap w:val="0"/>
            <w:vAlign w:val="center"/>
          </w:tcPr>
          <w:p w14:paraId="6984728A">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01" w:type="dxa"/>
            <w:noWrap w:val="0"/>
            <w:vAlign w:val="center"/>
          </w:tcPr>
          <w:p w14:paraId="6B540D51">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r>
      <w:tr w14:paraId="11E89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7EF3A52A">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center"/>
          </w:tcPr>
          <w:p w14:paraId="1723F510">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080" w:type="dxa"/>
            <w:noWrap w:val="0"/>
            <w:vAlign w:val="top"/>
          </w:tcPr>
          <w:p w14:paraId="0EF8DBEE">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440" w:type="dxa"/>
            <w:noWrap w:val="0"/>
            <w:vAlign w:val="center"/>
          </w:tcPr>
          <w:p w14:paraId="2212CB58">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74" w:type="dxa"/>
            <w:noWrap w:val="0"/>
            <w:vAlign w:val="center"/>
          </w:tcPr>
          <w:p w14:paraId="2BFD4F1D">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01" w:type="dxa"/>
            <w:noWrap w:val="0"/>
            <w:vAlign w:val="center"/>
          </w:tcPr>
          <w:p w14:paraId="6DA9D5AF">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r>
      <w:tr w14:paraId="3521D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445C089E">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center"/>
          </w:tcPr>
          <w:p w14:paraId="2FB9FED9">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080" w:type="dxa"/>
            <w:noWrap w:val="0"/>
            <w:vAlign w:val="top"/>
          </w:tcPr>
          <w:p w14:paraId="1F068B41">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440" w:type="dxa"/>
            <w:noWrap w:val="0"/>
            <w:vAlign w:val="center"/>
          </w:tcPr>
          <w:p w14:paraId="6AB8C717">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74" w:type="dxa"/>
            <w:noWrap w:val="0"/>
            <w:vAlign w:val="center"/>
          </w:tcPr>
          <w:p w14:paraId="4AD90CB0">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01" w:type="dxa"/>
            <w:noWrap w:val="0"/>
            <w:vAlign w:val="center"/>
          </w:tcPr>
          <w:p w14:paraId="2E9659C9">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r>
      <w:tr w14:paraId="3A39D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trPr>
        <w:tc>
          <w:tcPr>
            <w:tcW w:w="1453" w:type="dxa"/>
            <w:noWrap w:val="0"/>
            <w:vAlign w:val="center"/>
          </w:tcPr>
          <w:p w14:paraId="64325ED2">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center"/>
          </w:tcPr>
          <w:p w14:paraId="2E55D0CA">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080" w:type="dxa"/>
            <w:noWrap w:val="0"/>
            <w:vAlign w:val="top"/>
          </w:tcPr>
          <w:p w14:paraId="09BFA53F">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440" w:type="dxa"/>
            <w:noWrap w:val="0"/>
            <w:vAlign w:val="center"/>
          </w:tcPr>
          <w:p w14:paraId="0F1A7C9C">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74" w:type="dxa"/>
            <w:noWrap w:val="0"/>
            <w:vAlign w:val="center"/>
          </w:tcPr>
          <w:p w14:paraId="4AE43924">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01" w:type="dxa"/>
            <w:noWrap w:val="0"/>
            <w:vAlign w:val="center"/>
          </w:tcPr>
          <w:p w14:paraId="283E1A7B">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r>
      <w:tr w14:paraId="389AA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3FED4F48">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center"/>
          </w:tcPr>
          <w:p w14:paraId="322DF479">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080" w:type="dxa"/>
            <w:noWrap w:val="0"/>
            <w:vAlign w:val="top"/>
          </w:tcPr>
          <w:p w14:paraId="697D1829">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440" w:type="dxa"/>
            <w:noWrap w:val="0"/>
            <w:vAlign w:val="center"/>
          </w:tcPr>
          <w:p w14:paraId="4E8EED20">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74" w:type="dxa"/>
            <w:noWrap w:val="0"/>
            <w:vAlign w:val="center"/>
          </w:tcPr>
          <w:p w14:paraId="04F28115">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01" w:type="dxa"/>
            <w:noWrap w:val="0"/>
            <w:vAlign w:val="center"/>
          </w:tcPr>
          <w:p w14:paraId="68EAC849">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r>
      <w:tr w14:paraId="068AE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4089DEA1">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center"/>
          </w:tcPr>
          <w:p w14:paraId="53010134">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080" w:type="dxa"/>
            <w:noWrap w:val="0"/>
            <w:vAlign w:val="top"/>
          </w:tcPr>
          <w:p w14:paraId="722B7498">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440" w:type="dxa"/>
            <w:noWrap w:val="0"/>
            <w:vAlign w:val="center"/>
          </w:tcPr>
          <w:p w14:paraId="76DD46AB">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74" w:type="dxa"/>
            <w:noWrap w:val="0"/>
            <w:vAlign w:val="center"/>
          </w:tcPr>
          <w:p w14:paraId="47923832">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01" w:type="dxa"/>
            <w:noWrap w:val="0"/>
            <w:vAlign w:val="center"/>
          </w:tcPr>
          <w:p w14:paraId="0A10C735">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r>
      <w:tr w14:paraId="31D26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5EDE5D9C">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center"/>
          </w:tcPr>
          <w:p w14:paraId="24441017">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080" w:type="dxa"/>
            <w:noWrap w:val="0"/>
            <w:vAlign w:val="top"/>
          </w:tcPr>
          <w:p w14:paraId="6C710479">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440" w:type="dxa"/>
            <w:noWrap w:val="0"/>
            <w:vAlign w:val="center"/>
          </w:tcPr>
          <w:p w14:paraId="6FA23DF2">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74" w:type="dxa"/>
            <w:noWrap w:val="0"/>
            <w:vAlign w:val="top"/>
          </w:tcPr>
          <w:p w14:paraId="18838792">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901" w:type="dxa"/>
            <w:noWrap w:val="0"/>
            <w:vAlign w:val="top"/>
          </w:tcPr>
          <w:p w14:paraId="4306B864">
            <w:pPr>
              <w:pStyle w:val="405"/>
              <w:widowControl/>
              <w:shd w:val="clear" w:color="auto" w:fill="auto"/>
              <w:spacing w:before="100" w:beforeAutospacing="1" w:line="560" w:lineRule="exact"/>
              <w:rPr>
                <w:rFonts w:ascii="仿宋_GB2312" w:eastAsia="仿宋_GB2312"/>
                <w:color w:val="auto"/>
                <w:sz w:val="24"/>
                <w:szCs w:val="22"/>
                <w:highlight w:val="none"/>
              </w:rPr>
            </w:pPr>
          </w:p>
        </w:tc>
      </w:tr>
      <w:tr w14:paraId="563AC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center"/>
          </w:tcPr>
          <w:p w14:paraId="6A77E50D">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center"/>
          </w:tcPr>
          <w:p w14:paraId="5DD8A1E9">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080" w:type="dxa"/>
            <w:noWrap w:val="0"/>
            <w:vAlign w:val="top"/>
          </w:tcPr>
          <w:p w14:paraId="4209B46F">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440" w:type="dxa"/>
            <w:noWrap w:val="0"/>
            <w:vAlign w:val="center"/>
          </w:tcPr>
          <w:p w14:paraId="0DC2AD24">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974" w:type="dxa"/>
            <w:noWrap w:val="0"/>
            <w:vAlign w:val="top"/>
          </w:tcPr>
          <w:p w14:paraId="577B78B9">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901" w:type="dxa"/>
            <w:noWrap w:val="0"/>
            <w:vAlign w:val="top"/>
          </w:tcPr>
          <w:p w14:paraId="49AA15B1">
            <w:pPr>
              <w:pStyle w:val="405"/>
              <w:widowControl/>
              <w:shd w:val="clear" w:color="auto" w:fill="auto"/>
              <w:spacing w:before="100" w:beforeAutospacing="1" w:line="560" w:lineRule="exact"/>
              <w:rPr>
                <w:rFonts w:ascii="仿宋_GB2312" w:eastAsia="仿宋_GB2312"/>
                <w:color w:val="auto"/>
                <w:sz w:val="24"/>
                <w:szCs w:val="22"/>
                <w:highlight w:val="none"/>
              </w:rPr>
            </w:pPr>
          </w:p>
        </w:tc>
      </w:tr>
      <w:tr w14:paraId="6E04B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top"/>
          </w:tcPr>
          <w:p w14:paraId="095964E7">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top"/>
          </w:tcPr>
          <w:p w14:paraId="4DA4930B">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080" w:type="dxa"/>
            <w:noWrap w:val="0"/>
            <w:vAlign w:val="top"/>
          </w:tcPr>
          <w:p w14:paraId="1DFD1BE0">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440" w:type="dxa"/>
            <w:noWrap w:val="0"/>
            <w:vAlign w:val="top"/>
          </w:tcPr>
          <w:p w14:paraId="5EC95EDF">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974" w:type="dxa"/>
            <w:noWrap w:val="0"/>
            <w:vAlign w:val="top"/>
          </w:tcPr>
          <w:p w14:paraId="528AAED6">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901" w:type="dxa"/>
            <w:noWrap w:val="0"/>
            <w:vAlign w:val="top"/>
          </w:tcPr>
          <w:p w14:paraId="7430F531">
            <w:pPr>
              <w:pStyle w:val="405"/>
              <w:widowControl/>
              <w:shd w:val="clear" w:color="auto" w:fill="auto"/>
              <w:spacing w:before="100" w:beforeAutospacing="1" w:line="560" w:lineRule="exact"/>
              <w:rPr>
                <w:rFonts w:ascii="仿宋_GB2312" w:eastAsia="仿宋_GB2312"/>
                <w:color w:val="auto"/>
                <w:sz w:val="24"/>
                <w:szCs w:val="22"/>
                <w:highlight w:val="none"/>
              </w:rPr>
            </w:pPr>
          </w:p>
        </w:tc>
      </w:tr>
      <w:tr w14:paraId="79355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top"/>
          </w:tcPr>
          <w:p w14:paraId="6CCEEC87">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top"/>
          </w:tcPr>
          <w:p w14:paraId="2C9B5110">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080" w:type="dxa"/>
            <w:noWrap w:val="0"/>
            <w:vAlign w:val="top"/>
          </w:tcPr>
          <w:p w14:paraId="5FCF2A6C">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440" w:type="dxa"/>
            <w:noWrap w:val="0"/>
            <w:vAlign w:val="top"/>
          </w:tcPr>
          <w:p w14:paraId="168DB26C">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974" w:type="dxa"/>
            <w:noWrap w:val="0"/>
            <w:vAlign w:val="top"/>
          </w:tcPr>
          <w:p w14:paraId="24CD3CA5">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901" w:type="dxa"/>
            <w:noWrap w:val="0"/>
            <w:vAlign w:val="top"/>
          </w:tcPr>
          <w:p w14:paraId="1385CC4D">
            <w:pPr>
              <w:pStyle w:val="405"/>
              <w:widowControl/>
              <w:shd w:val="clear" w:color="auto" w:fill="auto"/>
              <w:spacing w:before="100" w:beforeAutospacing="1" w:line="560" w:lineRule="exact"/>
              <w:rPr>
                <w:rFonts w:ascii="仿宋_GB2312" w:eastAsia="仿宋_GB2312"/>
                <w:color w:val="auto"/>
                <w:sz w:val="24"/>
                <w:szCs w:val="22"/>
                <w:highlight w:val="none"/>
              </w:rPr>
            </w:pPr>
          </w:p>
        </w:tc>
      </w:tr>
      <w:tr w14:paraId="1C81A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top"/>
          </w:tcPr>
          <w:p w14:paraId="2E31D53D">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top"/>
          </w:tcPr>
          <w:p w14:paraId="3B347A72">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080" w:type="dxa"/>
            <w:noWrap w:val="0"/>
            <w:vAlign w:val="top"/>
          </w:tcPr>
          <w:p w14:paraId="5758100C">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440" w:type="dxa"/>
            <w:noWrap w:val="0"/>
            <w:vAlign w:val="top"/>
          </w:tcPr>
          <w:p w14:paraId="2CE4D6B9">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974" w:type="dxa"/>
            <w:noWrap w:val="0"/>
            <w:vAlign w:val="top"/>
          </w:tcPr>
          <w:p w14:paraId="197CF246">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901" w:type="dxa"/>
            <w:noWrap w:val="0"/>
            <w:vAlign w:val="top"/>
          </w:tcPr>
          <w:p w14:paraId="16AAE5BD">
            <w:pPr>
              <w:pStyle w:val="405"/>
              <w:widowControl/>
              <w:shd w:val="clear" w:color="auto" w:fill="auto"/>
              <w:spacing w:before="100" w:beforeAutospacing="1" w:line="560" w:lineRule="exact"/>
              <w:rPr>
                <w:rFonts w:ascii="仿宋_GB2312" w:eastAsia="仿宋_GB2312"/>
                <w:color w:val="auto"/>
                <w:sz w:val="24"/>
                <w:szCs w:val="22"/>
                <w:highlight w:val="none"/>
              </w:rPr>
            </w:pPr>
          </w:p>
        </w:tc>
      </w:tr>
      <w:tr w14:paraId="56855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453" w:type="dxa"/>
            <w:noWrap w:val="0"/>
            <w:vAlign w:val="top"/>
          </w:tcPr>
          <w:p w14:paraId="6661092B">
            <w:pPr>
              <w:pStyle w:val="405"/>
              <w:widowControl/>
              <w:shd w:val="clear" w:color="auto" w:fill="auto"/>
              <w:spacing w:before="100" w:beforeAutospacing="1" w:line="560" w:lineRule="exact"/>
              <w:jc w:val="center"/>
              <w:rPr>
                <w:rFonts w:ascii="仿宋_GB2312" w:eastAsia="仿宋_GB2312"/>
                <w:color w:val="auto"/>
                <w:sz w:val="24"/>
                <w:szCs w:val="22"/>
                <w:highlight w:val="none"/>
              </w:rPr>
            </w:pPr>
          </w:p>
        </w:tc>
        <w:tc>
          <w:tcPr>
            <w:tcW w:w="1260" w:type="dxa"/>
            <w:noWrap w:val="0"/>
            <w:vAlign w:val="top"/>
          </w:tcPr>
          <w:p w14:paraId="63D87C8A">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080" w:type="dxa"/>
            <w:noWrap w:val="0"/>
            <w:vAlign w:val="top"/>
          </w:tcPr>
          <w:p w14:paraId="4547FF41">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440" w:type="dxa"/>
            <w:noWrap w:val="0"/>
            <w:vAlign w:val="top"/>
          </w:tcPr>
          <w:p w14:paraId="52155AC7">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974" w:type="dxa"/>
            <w:noWrap w:val="0"/>
            <w:vAlign w:val="top"/>
          </w:tcPr>
          <w:p w14:paraId="5CA94701">
            <w:pPr>
              <w:pStyle w:val="405"/>
              <w:widowControl/>
              <w:shd w:val="clear" w:color="auto" w:fill="auto"/>
              <w:spacing w:before="100" w:beforeAutospacing="1" w:line="560" w:lineRule="exact"/>
              <w:rPr>
                <w:rFonts w:ascii="仿宋_GB2312" w:eastAsia="仿宋_GB2312"/>
                <w:color w:val="auto"/>
                <w:sz w:val="24"/>
                <w:szCs w:val="22"/>
                <w:highlight w:val="none"/>
              </w:rPr>
            </w:pPr>
          </w:p>
        </w:tc>
        <w:tc>
          <w:tcPr>
            <w:tcW w:w="1901" w:type="dxa"/>
            <w:noWrap w:val="0"/>
            <w:vAlign w:val="top"/>
          </w:tcPr>
          <w:p w14:paraId="03E7FC3C">
            <w:pPr>
              <w:pStyle w:val="405"/>
              <w:widowControl/>
              <w:shd w:val="clear" w:color="auto" w:fill="auto"/>
              <w:spacing w:before="100" w:beforeAutospacing="1" w:line="560" w:lineRule="exact"/>
              <w:rPr>
                <w:rFonts w:ascii="仿宋_GB2312" w:eastAsia="仿宋_GB2312"/>
                <w:color w:val="auto"/>
                <w:sz w:val="24"/>
                <w:szCs w:val="22"/>
                <w:highlight w:val="none"/>
              </w:rPr>
            </w:pPr>
          </w:p>
        </w:tc>
      </w:tr>
    </w:tbl>
    <w:p w14:paraId="27971419">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7C42A163">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13B3E8B8">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0194A418">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4C6B963A">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2F43901C">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37193208">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5D027A33">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471CE208">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30EC563A">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475CC2B3">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213A5568">
      <w:pPr>
        <w:pStyle w:val="405"/>
        <w:widowControl/>
        <w:shd w:val="clear" w:color="auto" w:fill="auto"/>
        <w:spacing w:before="100" w:beforeAutospacing="1" w:line="480" w:lineRule="exact"/>
        <w:ind w:left="-288" w:firstLine="285"/>
        <w:rPr>
          <w:rFonts w:hint="eastAsia" w:ascii="仿宋_GB2312" w:eastAsia="仿宋_GB2312"/>
          <w:bCs/>
          <w:color w:val="auto"/>
          <w:sz w:val="24"/>
          <w:highlight w:val="none"/>
        </w:rPr>
      </w:pPr>
    </w:p>
    <w:p w14:paraId="1FD5243F">
      <w:pPr>
        <w:pStyle w:val="405"/>
        <w:widowControl/>
        <w:shd w:val="clear" w:color="auto" w:fill="auto"/>
        <w:spacing w:before="100" w:beforeAutospacing="1" w:line="480" w:lineRule="exact"/>
        <w:rPr>
          <w:rFonts w:hint="eastAsia" w:ascii="仿宋_GB2312" w:eastAsia="仿宋_GB2312"/>
          <w:bCs/>
          <w:color w:val="auto"/>
          <w:sz w:val="24"/>
          <w:szCs w:val="22"/>
          <w:highlight w:val="none"/>
        </w:rPr>
      </w:pPr>
      <w:r>
        <w:rPr>
          <w:rFonts w:hint="eastAsia" w:ascii="仿宋_GB2312" w:eastAsia="仿宋_GB2312"/>
          <w:bCs/>
          <w:color w:val="auto"/>
          <w:sz w:val="24"/>
          <w:highlight w:val="none"/>
        </w:rPr>
        <w:t>注：投标人应将所投货物的主要部件、配件等材料的品牌、产地、相关参数、质保期满后的优惠价格等在表中空白处填列。</w:t>
      </w:r>
    </w:p>
    <w:p w14:paraId="7BD3A3BE">
      <w:pPr>
        <w:pStyle w:val="405"/>
        <w:shd w:val="clear" w:color="auto" w:fill="auto"/>
        <w:spacing w:line="560" w:lineRule="exact"/>
        <w:ind w:right="105" w:firstLine="313"/>
        <w:rPr>
          <w:rFonts w:hint="eastAsia" w:ascii="仿宋_GB2312" w:eastAsia="仿宋_GB2312"/>
          <w:color w:val="auto"/>
          <w:sz w:val="32"/>
          <w:szCs w:val="32"/>
          <w:highlight w:val="none"/>
        </w:rPr>
      </w:pPr>
    </w:p>
    <w:p w14:paraId="0FC3CDD5">
      <w:pPr>
        <w:pStyle w:val="405"/>
        <w:shd w:val="clear" w:color="auto" w:fill="auto"/>
        <w:spacing w:line="560" w:lineRule="exact"/>
        <w:ind w:right="105" w:firstLine="313"/>
        <w:rPr>
          <w:rFonts w:hint="eastAsia" w:ascii="仿宋_GB2312" w:eastAsia="仿宋_GB2312"/>
          <w:color w:val="auto"/>
          <w:sz w:val="32"/>
          <w:szCs w:val="32"/>
          <w:highlight w:val="none"/>
        </w:rPr>
      </w:pPr>
    </w:p>
    <w:p w14:paraId="4EDCFA54">
      <w:pPr>
        <w:pStyle w:val="345"/>
        <w:shd w:val="clear" w:color="auto" w:fill="auto"/>
        <w:spacing w:line="700" w:lineRule="exact"/>
        <w:ind w:firstLine="629"/>
        <w:rPr>
          <w:rFonts w:hint="eastAsia" w:ascii="仿宋_GB2312" w:eastAsia="仿宋_GB2312"/>
          <w:color w:val="auto"/>
          <w:sz w:val="24"/>
          <w:highlight w:val="none"/>
          <w:u w:val="single"/>
        </w:rPr>
      </w:pPr>
      <w:r>
        <w:rPr>
          <w:rFonts w:hint="eastAsia" w:ascii="仿宋_GB2312" w:eastAsia="仿宋_GB2312"/>
          <w:color w:val="auto"/>
          <w:sz w:val="24"/>
          <w:highlight w:val="none"/>
        </w:rPr>
        <w:t>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7152ABDE">
      <w:pPr>
        <w:pStyle w:val="345"/>
        <w:shd w:val="clear" w:color="auto" w:fill="auto"/>
        <w:spacing w:line="700" w:lineRule="exact"/>
        <w:ind w:firstLine="629"/>
        <w:rPr>
          <w:rFonts w:hint="eastAsia"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u w:val="single"/>
        </w:rPr>
        <w:t xml:space="preserve">              </w:t>
      </w:r>
    </w:p>
    <w:p w14:paraId="78F7DB01">
      <w:pPr>
        <w:pStyle w:val="581"/>
        <w:shd w:val="clear" w:color="auto" w:fill="auto"/>
        <w:outlineLvl w:val="1"/>
        <w:rPr>
          <w:color w:val="auto"/>
          <w:highlight w:val="none"/>
        </w:rPr>
      </w:pPr>
      <w:r>
        <w:rPr>
          <w:color w:val="auto"/>
          <w:highlight w:val="none"/>
        </w:rPr>
        <w:br w:type="page" w:clear="all"/>
      </w:r>
      <w:bookmarkStart w:id="144" w:name="_Toc514054502"/>
      <w:bookmarkStart w:id="145" w:name="_Toc25001_WPSOffice_Level2"/>
      <w:bookmarkStart w:id="146" w:name="_Toc15828"/>
      <w:r>
        <w:rPr>
          <w:color w:val="auto"/>
          <w:highlight w:val="none"/>
        </w:rPr>
        <w:t>十五、</w:t>
      </w:r>
      <w:r>
        <w:rPr>
          <w:rFonts w:hint="eastAsia"/>
          <w:color w:val="auto"/>
          <w:highlight w:val="none"/>
          <w:lang w:val="en-US" w:eastAsia="zh-CN"/>
        </w:rPr>
        <w:t>服务</w:t>
      </w:r>
      <w:r>
        <w:rPr>
          <w:color w:val="auto"/>
          <w:highlight w:val="none"/>
        </w:rPr>
        <w:t>方案</w:t>
      </w:r>
      <w:bookmarkEnd w:id="144"/>
      <w:bookmarkEnd w:id="145"/>
      <w:bookmarkEnd w:id="146"/>
    </w:p>
    <w:p w14:paraId="2D267962">
      <w:pPr>
        <w:pStyle w:val="418"/>
        <w:shd w:val="clear" w:color="auto" w:fill="auto"/>
        <w:spacing w:line="560" w:lineRule="exact"/>
        <w:jc w:val="center"/>
        <w:rPr>
          <w:rFonts w:hint="eastAsia" w:ascii="宋体"/>
          <w:b/>
          <w:bCs/>
          <w:color w:val="auto"/>
          <w:sz w:val="32"/>
          <w:szCs w:val="32"/>
          <w:highlight w:val="none"/>
        </w:rPr>
      </w:pPr>
      <w:bookmarkStart w:id="147" w:name="_Toc2882_WPSOffice_Level2"/>
      <w:r>
        <w:rPr>
          <w:rFonts w:hint="eastAsia" w:ascii="宋体"/>
          <w:b/>
          <w:bCs/>
          <w:color w:val="auto"/>
          <w:sz w:val="32"/>
          <w:szCs w:val="32"/>
          <w:highlight w:val="none"/>
        </w:rPr>
        <w:t>按照招标文件要求，格式自拟</w:t>
      </w:r>
      <w:bookmarkEnd w:id="147"/>
    </w:p>
    <w:p w14:paraId="6A31F1B5">
      <w:pPr>
        <w:pStyle w:val="549"/>
        <w:shd w:val="clear" w:color="auto" w:fill="auto"/>
        <w:outlineLvl w:val="1"/>
        <w:rPr>
          <w:color w:val="auto"/>
          <w:highlight w:val="none"/>
        </w:rPr>
      </w:pPr>
      <w:r>
        <w:rPr>
          <w:color w:val="auto"/>
          <w:highlight w:val="none"/>
        </w:rPr>
        <w:br w:type="page" w:clear="all"/>
      </w:r>
      <w:bookmarkStart w:id="148" w:name="_Toc30208_WPSOffice_Level2"/>
      <w:bookmarkStart w:id="149" w:name="_Toc514054504"/>
      <w:bookmarkStart w:id="150" w:name="_Toc5519"/>
      <w:r>
        <w:rPr>
          <w:color w:val="auto"/>
          <w:highlight w:val="none"/>
        </w:rPr>
        <w:t>十</w:t>
      </w:r>
      <w:r>
        <w:rPr>
          <w:rFonts w:hint="eastAsia"/>
          <w:color w:val="auto"/>
          <w:highlight w:val="none"/>
          <w:lang w:val="en-US" w:eastAsia="zh-CN"/>
        </w:rPr>
        <w:t>六</w:t>
      </w:r>
      <w:r>
        <w:rPr>
          <w:color w:val="auto"/>
          <w:highlight w:val="none"/>
        </w:rPr>
        <w:t>、项目业绩一览表</w:t>
      </w:r>
      <w:bookmarkEnd w:id="148"/>
      <w:bookmarkEnd w:id="149"/>
      <w:bookmarkEnd w:id="150"/>
    </w:p>
    <w:p w14:paraId="6176D192">
      <w:pPr>
        <w:pStyle w:val="462"/>
        <w:shd w:val="clear" w:color="auto" w:fill="auto"/>
        <w:jc w:val="center"/>
        <w:rPr>
          <w:rFonts w:hint="eastAsia"/>
          <w:b/>
          <w:color w:val="auto"/>
          <w:sz w:val="32"/>
          <w:szCs w:val="32"/>
          <w:highlight w:val="none"/>
        </w:rPr>
      </w:pPr>
      <w:bookmarkStart w:id="151" w:name="_Toc10294_WPSOffice_Level2"/>
    </w:p>
    <w:p w14:paraId="7D0ED7B6">
      <w:pPr>
        <w:pStyle w:val="462"/>
        <w:shd w:val="clear" w:color="auto" w:fill="auto"/>
        <w:jc w:val="center"/>
        <w:rPr>
          <w:b/>
          <w:color w:val="auto"/>
          <w:sz w:val="32"/>
          <w:szCs w:val="32"/>
          <w:highlight w:val="none"/>
        </w:rPr>
      </w:pPr>
      <w:r>
        <w:rPr>
          <w:rFonts w:hint="eastAsia"/>
          <w:b/>
          <w:color w:val="auto"/>
          <w:sz w:val="32"/>
          <w:szCs w:val="32"/>
          <w:highlight w:val="none"/>
        </w:rPr>
        <w:t>项目业绩一览表</w:t>
      </w:r>
      <w:bookmarkEnd w:id="151"/>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3B9A9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2814E2C9">
            <w:pPr>
              <w:pStyle w:val="502"/>
              <w:shd w:val="clear" w:color="auto" w:fill="auto"/>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noWrap w:val="0"/>
            <w:vAlign w:val="center"/>
          </w:tcPr>
          <w:p w14:paraId="3AB0BC60">
            <w:pPr>
              <w:pStyle w:val="502"/>
              <w:shd w:val="clear" w:color="auto" w:fill="auto"/>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noWrap w:val="0"/>
            <w:vAlign w:val="center"/>
          </w:tcPr>
          <w:p w14:paraId="52D58594">
            <w:pPr>
              <w:pStyle w:val="502"/>
              <w:shd w:val="clear" w:color="auto" w:fill="auto"/>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noWrap w:val="0"/>
            <w:vAlign w:val="center"/>
          </w:tcPr>
          <w:p w14:paraId="30D03BC5">
            <w:pPr>
              <w:pStyle w:val="502"/>
              <w:shd w:val="clear" w:color="auto" w:fill="auto"/>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合同金额</w:t>
            </w:r>
          </w:p>
        </w:tc>
      </w:tr>
      <w:tr w14:paraId="51AD0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B103FCF">
            <w:pPr>
              <w:pStyle w:val="502"/>
              <w:shd w:val="clear" w:color="auto" w:fill="auto"/>
              <w:spacing w:line="560" w:lineRule="exact"/>
              <w:jc w:val="center"/>
              <w:rPr>
                <w:rFonts w:ascii="仿宋_GB2312" w:eastAsia="仿宋_GB2312"/>
                <w:color w:val="auto"/>
                <w:sz w:val="28"/>
                <w:highlight w:val="none"/>
              </w:rPr>
            </w:pPr>
          </w:p>
        </w:tc>
        <w:tc>
          <w:tcPr>
            <w:tcW w:w="3827" w:type="dxa"/>
            <w:noWrap w:val="0"/>
            <w:vAlign w:val="center"/>
          </w:tcPr>
          <w:p w14:paraId="64F914F8">
            <w:pPr>
              <w:pStyle w:val="502"/>
              <w:shd w:val="clear" w:color="auto" w:fill="auto"/>
              <w:spacing w:line="560" w:lineRule="exact"/>
              <w:jc w:val="center"/>
              <w:rPr>
                <w:rFonts w:ascii="仿宋_GB2312" w:eastAsia="仿宋_GB2312"/>
                <w:color w:val="auto"/>
                <w:sz w:val="28"/>
                <w:highlight w:val="none"/>
              </w:rPr>
            </w:pPr>
          </w:p>
        </w:tc>
        <w:tc>
          <w:tcPr>
            <w:tcW w:w="2433" w:type="dxa"/>
            <w:noWrap w:val="0"/>
            <w:vAlign w:val="center"/>
          </w:tcPr>
          <w:p w14:paraId="686EC527">
            <w:pPr>
              <w:pStyle w:val="502"/>
              <w:shd w:val="clear" w:color="auto" w:fill="auto"/>
              <w:spacing w:line="560" w:lineRule="exact"/>
              <w:jc w:val="center"/>
              <w:rPr>
                <w:rFonts w:ascii="仿宋_GB2312" w:eastAsia="仿宋_GB2312"/>
                <w:color w:val="auto"/>
                <w:sz w:val="28"/>
                <w:highlight w:val="none"/>
              </w:rPr>
            </w:pPr>
          </w:p>
        </w:tc>
        <w:tc>
          <w:tcPr>
            <w:tcW w:w="1395" w:type="dxa"/>
            <w:noWrap w:val="0"/>
            <w:vAlign w:val="center"/>
          </w:tcPr>
          <w:p w14:paraId="68F3751C">
            <w:pPr>
              <w:pStyle w:val="502"/>
              <w:shd w:val="clear" w:color="auto" w:fill="auto"/>
              <w:spacing w:line="560" w:lineRule="exact"/>
              <w:jc w:val="center"/>
              <w:rPr>
                <w:rFonts w:ascii="仿宋_GB2312" w:eastAsia="仿宋_GB2312"/>
                <w:color w:val="auto"/>
                <w:sz w:val="28"/>
                <w:highlight w:val="none"/>
              </w:rPr>
            </w:pPr>
          </w:p>
        </w:tc>
      </w:tr>
      <w:tr w14:paraId="3309E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12D812D">
            <w:pPr>
              <w:pStyle w:val="502"/>
              <w:shd w:val="clear" w:color="auto" w:fill="auto"/>
              <w:spacing w:line="560" w:lineRule="exact"/>
              <w:jc w:val="center"/>
              <w:rPr>
                <w:rFonts w:ascii="仿宋_GB2312" w:eastAsia="仿宋_GB2312"/>
                <w:color w:val="auto"/>
                <w:sz w:val="28"/>
                <w:highlight w:val="none"/>
              </w:rPr>
            </w:pPr>
          </w:p>
        </w:tc>
        <w:tc>
          <w:tcPr>
            <w:tcW w:w="3827" w:type="dxa"/>
            <w:noWrap w:val="0"/>
            <w:vAlign w:val="center"/>
          </w:tcPr>
          <w:p w14:paraId="5E10FE65">
            <w:pPr>
              <w:pStyle w:val="502"/>
              <w:shd w:val="clear" w:color="auto" w:fill="auto"/>
              <w:spacing w:line="560" w:lineRule="exact"/>
              <w:jc w:val="center"/>
              <w:rPr>
                <w:rFonts w:ascii="仿宋_GB2312" w:eastAsia="仿宋_GB2312"/>
                <w:color w:val="auto"/>
                <w:sz w:val="28"/>
                <w:highlight w:val="none"/>
              </w:rPr>
            </w:pPr>
          </w:p>
        </w:tc>
        <w:tc>
          <w:tcPr>
            <w:tcW w:w="2433" w:type="dxa"/>
            <w:noWrap w:val="0"/>
            <w:vAlign w:val="center"/>
          </w:tcPr>
          <w:p w14:paraId="36C5841E">
            <w:pPr>
              <w:pStyle w:val="502"/>
              <w:shd w:val="clear" w:color="auto" w:fill="auto"/>
              <w:spacing w:line="560" w:lineRule="exact"/>
              <w:jc w:val="center"/>
              <w:rPr>
                <w:rFonts w:ascii="仿宋_GB2312" w:eastAsia="仿宋_GB2312"/>
                <w:color w:val="auto"/>
                <w:sz w:val="28"/>
                <w:highlight w:val="none"/>
              </w:rPr>
            </w:pPr>
          </w:p>
        </w:tc>
        <w:tc>
          <w:tcPr>
            <w:tcW w:w="1395" w:type="dxa"/>
            <w:noWrap w:val="0"/>
            <w:vAlign w:val="center"/>
          </w:tcPr>
          <w:p w14:paraId="1A79AE8C">
            <w:pPr>
              <w:pStyle w:val="502"/>
              <w:shd w:val="clear" w:color="auto" w:fill="auto"/>
              <w:spacing w:line="560" w:lineRule="exact"/>
              <w:jc w:val="center"/>
              <w:rPr>
                <w:rFonts w:ascii="仿宋_GB2312" w:eastAsia="仿宋_GB2312"/>
                <w:color w:val="auto"/>
                <w:sz w:val="28"/>
                <w:highlight w:val="none"/>
              </w:rPr>
            </w:pPr>
          </w:p>
        </w:tc>
      </w:tr>
      <w:tr w14:paraId="5E3E1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3FD421C">
            <w:pPr>
              <w:pStyle w:val="502"/>
              <w:shd w:val="clear" w:color="auto" w:fill="auto"/>
              <w:spacing w:line="560" w:lineRule="exact"/>
              <w:jc w:val="center"/>
              <w:rPr>
                <w:rFonts w:ascii="仿宋_GB2312" w:eastAsia="仿宋_GB2312"/>
                <w:color w:val="auto"/>
                <w:sz w:val="28"/>
                <w:highlight w:val="none"/>
              </w:rPr>
            </w:pPr>
          </w:p>
        </w:tc>
        <w:tc>
          <w:tcPr>
            <w:tcW w:w="3827" w:type="dxa"/>
            <w:noWrap w:val="0"/>
            <w:vAlign w:val="center"/>
          </w:tcPr>
          <w:p w14:paraId="0BBE15BA">
            <w:pPr>
              <w:pStyle w:val="502"/>
              <w:shd w:val="clear" w:color="auto" w:fill="auto"/>
              <w:spacing w:line="560" w:lineRule="exact"/>
              <w:jc w:val="center"/>
              <w:rPr>
                <w:rFonts w:ascii="仿宋_GB2312" w:eastAsia="仿宋_GB2312"/>
                <w:color w:val="auto"/>
                <w:sz w:val="28"/>
                <w:highlight w:val="none"/>
              </w:rPr>
            </w:pPr>
          </w:p>
        </w:tc>
        <w:tc>
          <w:tcPr>
            <w:tcW w:w="2433" w:type="dxa"/>
            <w:noWrap w:val="0"/>
            <w:vAlign w:val="center"/>
          </w:tcPr>
          <w:p w14:paraId="563A6019">
            <w:pPr>
              <w:pStyle w:val="502"/>
              <w:shd w:val="clear" w:color="auto" w:fill="auto"/>
              <w:spacing w:line="560" w:lineRule="exact"/>
              <w:jc w:val="center"/>
              <w:rPr>
                <w:rFonts w:ascii="仿宋_GB2312" w:eastAsia="仿宋_GB2312"/>
                <w:color w:val="auto"/>
                <w:sz w:val="28"/>
                <w:highlight w:val="none"/>
              </w:rPr>
            </w:pPr>
          </w:p>
        </w:tc>
        <w:tc>
          <w:tcPr>
            <w:tcW w:w="1395" w:type="dxa"/>
            <w:noWrap w:val="0"/>
            <w:vAlign w:val="center"/>
          </w:tcPr>
          <w:p w14:paraId="63D2B987">
            <w:pPr>
              <w:pStyle w:val="502"/>
              <w:shd w:val="clear" w:color="auto" w:fill="auto"/>
              <w:spacing w:line="560" w:lineRule="exact"/>
              <w:jc w:val="center"/>
              <w:rPr>
                <w:rFonts w:ascii="仿宋_GB2312" w:eastAsia="仿宋_GB2312"/>
                <w:color w:val="auto"/>
                <w:sz w:val="28"/>
                <w:highlight w:val="none"/>
              </w:rPr>
            </w:pPr>
          </w:p>
        </w:tc>
      </w:tr>
      <w:tr w14:paraId="52A72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7A9D86F9">
            <w:pPr>
              <w:pStyle w:val="502"/>
              <w:shd w:val="clear" w:color="auto" w:fill="auto"/>
              <w:spacing w:line="560" w:lineRule="exact"/>
              <w:jc w:val="center"/>
              <w:rPr>
                <w:rFonts w:ascii="仿宋_GB2312" w:eastAsia="仿宋_GB2312"/>
                <w:color w:val="auto"/>
                <w:sz w:val="28"/>
                <w:highlight w:val="none"/>
              </w:rPr>
            </w:pPr>
          </w:p>
        </w:tc>
        <w:tc>
          <w:tcPr>
            <w:tcW w:w="3827" w:type="dxa"/>
            <w:noWrap w:val="0"/>
            <w:vAlign w:val="center"/>
          </w:tcPr>
          <w:p w14:paraId="2618BF99">
            <w:pPr>
              <w:pStyle w:val="502"/>
              <w:shd w:val="clear" w:color="auto" w:fill="auto"/>
              <w:spacing w:line="560" w:lineRule="exact"/>
              <w:jc w:val="center"/>
              <w:rPr>
                <w:rFonts w:ascii="仿宋_GB2312" w:eastAsia="仿宋_GB2312"/>
                <w:color w:val="auto"/>
                <w:sz w:val="28"/>
                <w:highlight w:val="none"/>
              </w:rPr>
            </w:pPr>
          </w:p>
        </w:tc>
        <w:tc>
          <w:tcPr>
            <w:tcW w:w="2433" w:type="dxa"/>
            <w:noWrap w:val="0"/>
            <w:vAlign w:val="center"/>
          </w:tcPr>
          <w:p w14:paraId="37A2B11E">
            <w:pPr>
              <w:pStyle w:val="502"/>
              <w:shd w:val="clear" w:color="auto" w:fill="auto"/>
              <w:spacing w:line="560" w:lineRule="exact"/>
              <w:jc w:val="center"/>
              <w:rPr>
                <w:rFonts w:ascii="仿宋_GB2312" w:eastAsia="仿宋_GB2312"/>
                <w:color w:val="auto"/>
                <w:sz w:val="28"/>
                <w:highlight w:val="none"/>
              </w:rPr>
            </w:pPr>
          </w:p>
        </w:tc>
        <w:tc>
          <w:tcPr>
            <w:tcW w:w="1395" w:type="dxa"/>
            <w:noWrap w:val="0"/>
            <w:vAlign w:val="center"/>
          </w:tcPr>
          <w:p w14:paraId="2D51C085">
            <w:pPr>
              <w:pStyle w:val="502"/>
              <w:shd w:val="clear" w:color="auto" w:fill="auto"/>
              <w:spacing w:line="560" w:lineRule="exact"/>
              <w:jc w:val="center"/>
              <w:rPr>
                <w:rFonts w:ascii="仿宋_GB2312" w:eastAsia="仿宋_GB2312"/>
                <w:color w:val="auto"/>
                <w:sz w:val="28"/>
                <w:highlight w:val="none"/>
              </w:rPr>
            </w:pPr>
          </w:p>
        </w:tc>
      </w:tr>
    </w:tbl>
    <w:p w14:paraId="3617313E">
      <w:pPr>
        <w:pStyle w:val="449"/>
        <w:shd w:val="clear" w:color="auto" w:fill="auto"/>
        <w:outlineLvl w:val="1"/>
        <w:rPr>
          <w:color w:val="auto"/>
          <w:highlight w:val="none"/>
        </w:rPr>
      </w:pPr>
      <w:r>
        <w:rPr>
          <w:color w:val="auto"/>
          <w:highlight w:val="none"/>
        </w:rPr>
        <w:br w:type="page" w:clear="all"/>
      </w:r>
      <w:bookmarkStart w:id="152" w:name="_Toc30836_WPSOffice_Level2"/>
      <w:bookmarkStart w:id="153" w:name="_Toc502821163"/>
      <w:bookmarkStart w:id="154" w:name="_Toc15753"/>
      <w:bookmarkStart w:id="155" w:name="_Toc514054505"/>
      <w:r>
        <w:rPr>
          <w:color w:val="auto"/>
          <w:highlight w:val="none"/>
        </w:rPr>
        <w:t>十</w:t>
      </w:r>
      <w:r>
        <w:rPr>
          <w:rFonts w:hint="eastAsia"/>
          <w:color w:val="auto"/>
          <w:highlight w:val="none"/>
          <w:lang w:val="en-US" w:eastAsia="zh-CN"/>
        </w:rPr>
        <w:t>七</w:t>
      </w:r>
      <w:r>
        <w:rPr>
          <w:color w:val="auto"/>
          <w:highlight w:val="none"/>
        </w:rPr>
        <w:t>、投标所需其他材料</w:t>
      </w:r>
      <w:bookmarkEnd w:id="152"/>
      <w:bookmarkEnd w:id="153"/>
      <w:bookmarkEnd w:id="154"/>
      <w:bookmarkEnd w:id="155"/>
    </w:p>
    <w:p w14:paraId="73E1F95D">
      <w:pPr>
        <w:pStyle w:val="586"/>
        <w:shd w:val="clear" w:color="auto" w:fill="auto"/>
        <w:spacing w:line="360" w:lineRule="auto"/>
        <w:ind w:firstLine="420"/>
        <w:rPr>
          <w:rFonts w:hint="eastAsia"/>
          <w:color w:val="auto"/>
          <w:highlight w:val="none"/>
        </w:rPr>
      </w:pPr>
      <w:r>
        <w:rPr>
          <w:rFonts w:hint="eastAsia"/>
          <w:color w:val="auto"/>
          <w:highlight w:val="none"/>
        </w:rPr>
        <w:t>请在此文档中增加投标所需其他相关内容（包括资格要求、评分办法、采购需求中涉及的证件证明及其它投标人认为有必要提供的资料），如没有请空置。</w:t>
      </w:r>
    </w:p>
    <w:p w14:paraId="04696FBB">
      <w:pPr>
        <w:shd w:val="clear" w:color="auto" w:fill="auto"/>
        <w:rPr>
          <w:rFonts w:hint="eastAsia"/>
          <w:color w:val="auto"/>
          <w:sz w:val="20"/>
          <w:highlight w:val="none"/>
        </w:rPr>
      </w:pPr>
      <w:r>
        <w:rPr>
          <w:rFonts w:hint="eastAsia"/>
          <w:color w:val="auto"/>
          <w:sz w:val="20"/>
          <w:highlight w:val="none"/>
        </w:rPr>
        <w:t xml:space="preserve"> </w:t>
      </w:r>
    </w:p>
    <w:sectPr>
      <w:pgSz w:w="11906" w:h="16838"/>
      <w:pgMar w:top="1440" w:right="1083" w:bottom="1440" w:left="108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Univers LT Std 45 Ligh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Helvetica-Light">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Kingsoft Phonetic Plain">
    <w:altName w:val="DejaVu Math TeX Gyre"/>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Arial Narrow">
    <w:panose1 w:val="020B0606020202030204"/>
    <w:charset w:val="00"/>
    <w:family w:val="auto"/>
    <w:pitch w:val="default"/>
    <w:sig w:usb0="00000287" w:usb1="00000800" w:usb2="00000000" w:usb3="00000000" w:csb0="2000009F" w:csb1="DFD70000"/>
  </w:font>
  <w:font w:name="华文琥珀">
    <w:panose1 w:val="02010800040101010101"/>
    <w:charset w:val="86"/>
    <w:family w:val="auto"/>
    <w:pitch w:val="default"/>
    <w:sig w:usb0="00000001" w:usb1="080F0000" w:usb2="00000000" w:usb3="00000000" w:csb0="00040000" w:csb1="00000000"/>
  </w:font>
  <w:font w:name="方正大标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F00A0">
    <w:pPr>
      <w:pStyle w:val="2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5A0FA91">
                          <w:pPr>
                            <w:pStyle w:val="228"/>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10681D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5A0FA91">
                    <w:pPr>
                      <w:pStyle w:val="228"/>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10681DB0"/>
                </w:txbxContent>
              </v:textbox>
            </v:shape>
          </w:pict>
        </mc:Fallback>
      </mc:AlternateContent>
    </w:r>
  </w:p>
  <w:p w14:paraId="1B95D997">
    <w:pPr>
      <w:pStyle w:val="22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4"/>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623"/>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tentative="0">
      <w:start w:val="1"/>
      <w:numFmt w:val="decimal"/>
      <w:pStyle w:val="622"/>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3">
    <w:nsid w:val="CF092B84"/>
    <w:multiLevelType w:val="multilevel"/>
    <w:tmpl w:val="CF092B8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32"/>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4">
    <w:nsid w:val="0053208E"/>
    <w:multiLevelType w:val="multilevel"/>
    <w:tmpl w:val="0053208E"/>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31"/>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bullet"/>
      <w:pStyle w:val="474"/>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CD684D"/>
    <w:rsid w:val="0D0B2612"/>
    <w:rsid w:val="1BBF2C7A"/>
    <w:rsid w:val="24861ACA"/>
    <w:rsid w:val="63942644"/>
    <w:rsid w:val="645B4796"/>
    <w:rsid w:val="6E6A351E"/>
    <w:rsid w:val="71127A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9"/>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qFormat/>
    <w:uiPriority w:val="0"/>
    <w:pPr>
      <w:spacing w:after="120"/>
    </w:pPr>
    <w:rPr>
      <w:sz w:val="21"/>
      <w:szCs w:val="24"/>
    </w:rPr>
  </w:style>
  <w:style w:type="paragraph" w:styleId="15">
    <w:name w:val="Body Text Indent"/>
    <w:basedOn w:val="1"/>
    <w:unhideWhenUsed/>
    <w:qFormat/>
    <w:uiPriority w:val="99"/>
    <w:pPr>
      <w:spacing w:line="400" w:lineRule="exact"/>
      <w:ind w:firstLine="540"/>
    </w:pPr>
    <w:rPr>
      <w:sz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0"/>
    <w:semiHidden/>
    <w:unhideWhenUsed/>
    <w:qFormat/>
    <w:uiPriority w:val="99"/>
    <w:pPr>
      <w:spacing w:after="0" w:line="240" w:lineRule="auto"/>
    </w:pPr>
    <w:rPr>
      <w:sz w:val="20"/>
    </w:rPr>
  </w:style>
  <w:style w:type="paragraph" w:styleId="20">
    <w:name w:val="footer"/>
    <w:basedOn w:val="1"/>
    <w:link w:val="53"/>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8"/>
    <w:qFormat/>
    <w:uiPriority w:val="11"/>
    <w:pPr>
      <w:spacing w:before="200" w:after="200"/>
    </w:pPr>
    <w:rPr>
      <w:sz w:val="24"/>
      <w:szCs w:val="24"/>
    </w:rPr>
  </w:style>
  <w:style w:type="paragraph" w:styleId="25">
    <w:name w:val="footnote text"/>
    <w:basedOn w:val="1"/>
    <w:link w:val="179"/>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7"/>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样式1"/>
    <w:basedOn w:val="38"/>
    <w:next w:val="1"/>
    <w:qFormat/>
    <w:uiPriority w:val="0"/>
    <w:pPr>
      <w:numPr>
        <w:ilvl w:val="0"/>
        <w:numId w:val="0"/>
      </w:numPr>
      <w:tabs>
        <w:tab w:val="left" w:pos="0"/>
        <w:tab w:val="left" w:pos="840"/>
      </w:tabs>
    </w:pPr>
    <w:rPr>
      <w:rFonts w:ascii="Arial" w:hAnsi="Arial" w:eastAsia="幼圆" w:cs="Arial"/>
      <w:sz w:val="24"/>
      <w:szCs w:val="20"/>
      <w:lang w:bidi="ar-SA"/>
    </w:rPr>
  </w:style>
  <w:style w:type="paragraph" w:customStyle="1" w:styleId="38">
    <w:name w:val="列表编号1"/>
    <w:basedOn w:val="1"/>
    <w:qFormat/>
    <w:uiPriority w:val="0"/>
    <w:pPr>
      <w:tabs>
        <w:tab w:val="left" w:pos="0"/>
        <w:tab w:val="left" w:pos="840"/>
      </w:tabs>
      <w:spacing w:line="360" w:lineRule="auto"/>
    </w:pPr>
  </w:style>
  <w:style w:type="paragraph" w:customStyle="1" w:styleId="39">
    <w:name w:val="索引 91"/>
    <w:basedOn w:val="1"/>
    <w:next w:val="1"/>
    <w:qFormat/>
    <w:uiPriority w:val="0"/>
    <w:pPr>
      <w:ind w:left="1600"/>
    </w:pPr>
    <w:rPr>
      <w:rFonts w:ascii="Calibri" w:hAnsi="Calibri"/>
      <w:szCs w:val="22"/>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30"/>
    <w:qFormat/>
    <w:uiPriority w:val="10"/>
    <w:rPr>
      <w:sz w:val="48"/>
      <w:szCs w:val="48"/>
    </w:rPr>
  </w:style>
  <w:style w:type="character" w:customStyle="1" w:styleId="48">
    <w:name w:val="Subtitle Char"/>
    <w:link w:val="24"/>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Caption Char"/>
    <w:link w:val="20"/>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5"/>
    <w:qFormat/>
    <w:uiPriority w:val="99"/>
    <w:rPr>
      <w:sz w:val="18"/>
    </w:rPr>
  </w:style>
  <w:style w:type="character" w:customStyle="1" w:styleId="180">
    <w:name w:val="Endnote Text Char"/>
    <w:link w:val="19"/>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1"/>
    <w:basedOn w:val="1"/>
    <w:next w:val="1"/>
    <w:link w:val="193"/>
    <w:qFormat/>
    <w:uiPriority w:val="0"/>
    <w:pPr>
      <w:keepNext/>
      <w:keepLines/>
      <w:spacing w:before="340" w:after="330" w:line="576" w:lineRule="auto"/>
      <w:outlineLvl w:val="0"/>
    </w:pPr>
    <w:rPr>
      <w:b/>
      <w:sz w:val="44"/>
      <w:szCs w:val="20"/>
    </w:rPr>
  </w:style>
  <w:style w:type="paragraph" w:customStyle="1" w:styleId="183">
    <w:name w:val="标题 21"/>
    <w:basedOn w:val="1"/>
    <w:next w:val="1"/>
    <w:link w:val="194"/>
    <w:qFormat/>
    <w:uiPriority w:val="0"/>
    <w:pPr>
      <w:keepNext/>
      <w:keepLines/>
      <w:spacing w:before="260" w:after="260" w:line="413" w:lineRule="auto"/>
      <w:outlineLvl w:val="1"/>
    </w:pPr>
    <w:rPr>
      <w:rFonts w:ascii="Arial" w:hAnsi="Arial" w:eastAsia="黑体"/>
      <w:b/>
      <w:sz w:val="32"/>
      <w:szCs w:val="20"/>
    </w:rPr>
  </w:style>
  <w:style w:type="paragraph" w:customStyle="1" w:styleId="184">
    <w:name w:val="标题 31"/>
    <w:basedOn w:val="1"/>
    <w:next w:val="1"/>
    <w:link w:val="195"/>
    <w:qFormat/>
    <w:uiPriority w:val="0"/>
    <w:pPr>
      <w:keepNext/>
      <w:keepLines/>
      <w:spacing w:before="260" w:after="260" w:line="413" w:lineRule="auto"/>
      <w:outlineLvl w:val="2"/>
    </w:pPr>
    <w:rPr>
      <w:b/>
      <w:sz w:val="32"/>
      <w:szCs w:val="20"/>
    </w:rPr>
  </w:style>
  <w:style w:type="paragraph" w:customStyle="1" w:styleId="185">
    <w:name w:val="标题 41"/>
    <w:basedOn w:val="1"/>
    <w:next w:val="1"/>
    <w:link w:val="196"/>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86">
    <w:name w:val="标题 51"/>
    <w:basedOn w:val="1"/>
    <w:next w:val="1"/>
    <w:qFormat/>
    <w:uiPriority w:val="0"/>
    <w:pPr>
      <w:keepNext/>
      <w:keepLines/>
      <w:widowControl w:val="0"/>
      <w:tabs>
        <w:tab w:val="left" w:pos="1134"/>
        <w:tab w:val="right" w:pos="7371"/>
      </w:tabs>
      <w:spacing w:line="360" w:lineRule="auto"/>
      <w:jc w:val="left"/>
      <w:outlineLvl w:val="4"/>
    </w:pPr>
    <w:rPr>
      <w:rFonts w:ascii="宋体"/>
      <w:color w:val="008000"/>
      <w:sz w:val="28"/>
      <w:szCs w:val="20"/>
    </w:rPr>
  </w:style>
  <w:style w:type="paragraph" w:customStyle="1" w:styleId="187">
    <w:name w:val="标题 61"/>
    <w:basedOn w:val="1"/>
    <w:next w:val="1"/>
    <w:qFormat/>
    <w:uiPriority w:val="0"/>
    <w:pPr>
      <w:keepNext/>
      <w:keepLines/>
      <w:widowControl w:val="0"/>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188">
    <w:name w:val="标题 71"/>
    <w:basedOn w:val="1"/>
    <w:next w:val="1"/>
    <w:qFormat/>
    <w:uiPriority w:val="0"/>
    <w:pPr>
      <w:keepNext/>
      <w:keepLines/>
      <w:widowControl w:val="0"/>
      <w:tabs>
        <w:tab w:val="left" w:pos="1134"/>
        <w:tab w:val="right" w:pos="7371"/>
      </w:tabs>
      <w:spacing w:before="240" w:after="64" w:line="316" w:lineRule="auto"/>
      <w:jc w:val="left"/>
      <w:outlineLvl w:val="6"/>
    </w:pPr>
    <w:rPr>
      <w:rFonts w:ascii="宋体"/>
      <w:b/>
      <w:color w:val="000000"/>
      <w:sz w:val="24"/>
      <w:szCs w:val="20"/>
    </w:rPr>
  </w:style>
  <w:style w:type="paragraph" w:customStyle="1" w:styleId="189">
    <w:name w:val="标题 81"/>
    <w:basedOn w:val="1"/>
    <w:next w:val="1"/>
    <w:qFormat/>
    <w:uiPriority w:val="0"/>
    <w:pPr>
      <w:keepNext/>
      <w:keepLines/>
      <w:widowControl w:val="0"/>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190">
    <w:name w:val="标题 91"/>
    <w:basedOn w:val="1"/>
    <w:next w:val="1"/>
    <w:qFormat/>
    <w:uiPriority w:val="0"/>
    <w:pPr>
      <w:keepNext/>
      <w:widowControl w:val="0"/>
      <w:spacing w:line="600" w:lineRule="exact"/>
      <w:jc w:val="center"/>
      <w:outlineLvl w:val="8"/>
    </w:pPr>
    <w:rPr>
      <w:rFonts w:ascii="仿宋_GB2312" w:eastAsia="仿宋_GB2312"/>
      <w:sz w:val="32"/>
    </w:rPr>
  </w:style>
  <w:style w:type="character" w:customStyle="1" w:styleId="191">
    <w:name w:val="默认段落字体1"/>
    <w:link w:val="1"/>
    <w:unhideWhenUsed/>
    <w:qFormat/>
    <w:uiPriority w:val="1"/>
  </w:style>
  <w:style w:type="table" w:customStyle="1" w:styleId="192">
    <w:name w:val="普通表格1"/>
    <w:semiHidden/>
    <w:qFormat/>
    <w:uiPriority w:val="0"/>
  </w:style>
  <w:style w:type="character" w:customStyle="1" w:styleId="193">
    <w:name w:val="标题 1 字符"/>
    <w:link w:val="182"/>
    <w:qFormat/>
    <w:uiPriority w:val="0"/>
    <w:rPr>
      <w:b/>
      <w:sz w:val="44"/>
    </w:rPr>
  </w:style>
  <w:style w:type="character" w:customStyle="1" w:styleId="194">
    <w:name w:val="标题 2 字符"/>
    <w:link w:val="183"/>
    <w:qFormat/>
    <w:uiPriority w:val="0"/>
    <w:rPr>
      <w:rFonts w:ascii="Arial" w:hAnsi="Arial" w:eastAsia="黑体"/>
      <w:b/>
      <w:sz w:val="32"/>
    </w:rPr>
  </w:style>
  <w:style w:type="character" w:customStyle="1" w:styleId="195">
    <w:name w:val="标题 3 字符"/>
    <w:link w:val="184"/>
    <w:qFormat/>
    <w:uiPriority w:val="0"/>
    <w:rPr>
      <w:b/>
      <w:sz w:val="32"/>
    </w:rPr>
  </w:style>
  <w:style w:type="character" w:customStyle="1" w:styleId="196">
    <w:name w:val="标题 4 字符"/>
    <w:link w:val="185"/>
    <w:qFormat/>
    <w:uiPriority w:val="0"/>
    <w:rPr>
      <w:rFonts w:ascii="宋体" w:eastAsia="宋体"/>
      <w:color w:val="800000"/>
      <w:sz w:val="28"/>
      <w:lang w:val="en-US" w:eastAsia="zh-CN" w:bidi="ar-SA"/>
    </w:rPr>
  </w:style>
  <w:style w:type="paragraph" w:customStyle="1" w:styleId="197">
    <w:name w:val="目录 71"/>
    <w:basedOn w:val="1"/>
    <w:next w:val="1"/>
    <w:qFormat/>
    <w:uiPriority w:val="0"/>
    <w:pPr>
      <w:ind w:left="1260"/>
      <w:jc w:val="left"/>
    </w:pPr>
    <w:rPr>
      <w:rFonts w:ascii="Calibri" w:hAnsi="Calibri" w:cs="Calibri"/>
      <w:sz w:val="18"/>
      <w:szCs w:val="18"/>
    </w:rPr>
  </w:style>
  <w:style w:type="paragraph" w:customStyle="1" w:styleId="198">
    <w:name w:val="列表项目符号 41"/>
    <w:basedOn w:val="1"/>
    <w:qFormat/>
    <w:uiPriority w:val="0"/>
    <w:pPr>
      <w:tabs>
        <w:tab w:val="left" w:pos="360"/>
      </w:tabs>
      <w:spacing w:line="380" w:lineRule="exact"/>
      <w:ind w:left="360" w:hanging="360"/>
    </w:pPr>
    <w:rPr>
      <w:rFonts w:ascii="Calibri" w:hAnsi="Calibri"/>
      <w:sz w:val="28"/>
      <w:szCs w:val="22"/>
    </w:rPr>
  </w:style>
  <w:style w:type="paragraph" w:customStyle="1" w:styleId="199">
    <w:name w:val="索引 81"/>
    <w:basedOn w:val="1"/>
    <w:next w:val="1"/>
    <w:qFormat/>
    <w:uiPriority w:val="0"/>
    <w:pPr>
      <w:ind w:left="1400"/>
    </w:pPr>
    <w:rPr>
      <w:rFonts w:ascii="Calibri" w:hAnsi="Calibri"/>
      <w:szCs w:val="22"/>
    </w:rPr>
  </w:style>
  <w:style w:type="paragraph" w:customStyle="1" w:styleId="200">
    <w:name w:val="正文缩进11"/>
    <w:basedOn w:val="1"/>
    <w:qFormat/>
    <w:uiPriority w:val="0"/>
    <w:pPr>
      <w:ind w:firstLine="420"/>
    </w:pPr>
    <w:rPr>
      <w:rFonts w:ascii="宋体"/>
      <w:color w:val="000000"/>
      <w:sz w:val="24"/>
      <w:szCs w:val="20"/>
    </w:rPr>
  </w:style>
  <w:style w:type="paragraph" w:customStyle="1" w:styleId="201">
    <w:name w:val="题注1"/>
    <w:basedOn w:val="1"/>
    <w:next w:val="1"/>
    <w:link w:val="202"/>
    <w:qFormat/>
    <w:uiPriority w:val="0"/>
    <w:pPr>
      <w:tabs>
        <w:tab w:val="left" w:pos="0"/>
      </w:tabs>
      <w:spacing w:line="360" w:lineRule="auto"/>
    </w:pPr>
    <w:rPr>
      <w:rFonts w:ascii="Arial" w:hAnsi="Arial" w:eastAsia="黑体"/>
      <w:sz w:val="20"/>
      <w:szCs w:val="20"/>
    </w:rPr>
  </w:style>
  <w:style w:type="character" w:customStyle="1" w:styleId="202">
    <w:name w:val="题注 字符"/>
    <w:link w:val="201"/>
    <w:qFormat/>
    <w:uiPriority w:val="0"/>
    <w:rPr>
      <w:rFonts w:ascii="Arial" w:hAnsi="Arial" w:eastAsia="黑体" w:cs="Arial"/>
    </w:rPr>
  </w:style>
  <w:style w:type="paragraph" w:customStyle="1" w:styleId="203">
    <w:name w:val="索引 51"/>
    <w:basedOn w:val="1"/>
    <w:next w:val="1"/>
    <w:qFormat/>
    <w:uiPriority w:val="0"/>
    <w:pPr>
      <w:ind w:left="800"/>
    </w:pPr>
    <w:rPr>
      <w:rFonts w:ascii="Calibri" w:hAnsi="Calibri"/>
      <w:szCs w:val="22"/>
    </w:rPr>
  </w:style>
  <w:style w:type="paragraph" w:customStyle="1" w:styleId="204">
    <w:name w:val="列表项目符号1"/>
    <w:basedOn w:val="1"/>
    <w:qFormat/>
    <w:uiPriority w:val="0"/>
    <w:pPr>
      <w:tabs>
        <w:tab w:val="left" w:pos="840"/>
      </w:tabs>
      <w:spacing w:line="360" w:lineRule="auto"/>
      <w:ind w:left="962" w:hanging="480"/>
    </w:pPr>
    <w:rPr>
      <w:sz w:val="24"/>
    </w:rPr>
  </w:style>
  <w:style w:type="paragraph" w:customStyle="1" w:styleId="205">
    <w:name w:val="文档结构图1"/>
    <w:basedOn w:val="1"/>
    <w:qFormat/>
    <w:uiPriority w:val="0"/>
    <w:pPr>
      <w:shd w:val="clear" w:color="auto" w:fill="000080"/>
    </w:pPr>
  </w:style>
  <w:style w:type="paragraph" w:customStyle="1" w:styleId="206">
    <w:name w:val="批注文字1"/>
    <w:basedOn w:val="1"/>
    <w:link w:val="207"/>
    <w:qFormat/>
    <w:uiPriority w:val="99"/>
    <w:pPr>
      <w:jc w:val="left"/>
    </w:pPr>
    <w:rPr>
      <w:rFonts w:ascii="Calibri" w:hAnsi="Calibri"/>
      <w:szCs w:val="20"/>
    </w:rPr>
  </w:style>
  <w:style w:type="character" w:customStyle="1" w:styleId="207">
    <w:name w:val="批注文字 字符"/>
    <w:link w:val="206"/>
    <w:qFormat/>
    <w:uiPriority w:val="99"/>
    <w:rPr>
      <w:rFonts w:ascii="Calibri" w:hAnsi="Calibri" w:eastAsia="宋体" w:cs="Times New Roman"/>
      <w:sz w:val="21"/>
    </w:rPr>
  </w:style>
  <w:style w:type="paragraph" w:customStyle="1" w:styleId="208">
    <w:name w:val="索引 61"/>
    <w:basedOn w:val="1"/>
    <w:next w:val="1"/>
    <w:qFormat/>
    <w:uiPriority w:val="0"/>
    <w:pPr>
      <w:ind w:left="1000"/>
    </w:pPr>
    <w:rPr>
      <w:rFonts w:ascii="Calibri" w:hAnsi="Calibri"/>
      <w:szCs w:val="22"/>
    </w:rPr>
  </w:style>
  <w:style w:type="paragraph" w:customStyle="1" w:styleId="209">
    <w:name w:val="正文文本 31"/>
    <w:basedOn w:val="1"/>
    <w:qFormat/>
    <w:uiPriority w:val="0"/>
    <w:rPr>
      <w:color w:val="000000"/>
    </w:rPr>
  </w:style>
  <w:style w:type="paragraph" w:customStyle="1" w:styleId="210">
    <w:name w:val="列表项目符号 31"/>
    <w:basedOn w:val="1"/>
    <w:qFormat/>
    <w:uiPriority w:val="0"/>
    <w:pPr>
      <w:tabs>
        <w:tab w:val="left" w:pos="1200"/>
      </w:tabs>
      <w:spacing w:line="380" w:lineRule="exact"/>
      <w:ind w:left="1200" w:hanging="360"/>
    </w:pPr>
    <w:rPr>
      <w:rFonts w:ascii="Calibri" w:hAnsi="Calibri"/>
      <w:sz w:val="28"/>
      <w:szCs w:val="22"/>
    </w:rPr>
  </w:style>
  <w:style w:type="paragraph" w:customStyle="1" w:styleId="211">
    <w:name w:val="正文文本12"/>
    <w:basedOn w:val="1"/>
    <w:link w:val="212"/>
    <w:qFormat/>
    <w:uiPriority w:val="0"/>
    <w:pPr>
      <w:spacing w:line="60" w:lineRule="auto"/>
    </w:pPr>
    <w:rPr>
      <w:rFonts w:ascii="仿宋_GB2312" w:eastAsia="仿宋_GB2312"/>
      <w:sz w:val="32"/>
    </w:rPr>
  </w:style>
  <w:style w:type="character" w:customStyle="1" w:styleId="212">
    <w:name w:val="正文文本 字符"/>
    <w:link w:val="211"/>
    <w:qFormat/>
    <w:uiPriority w:val="0"/>
    <w:rPr>
      <w:rFonts w:ascii="仿宋_GB2312" w:eastAsia="仿宋_GB2312"/>
      <w:sz w:val="32"/>
      <w:szCs w:val="22"/>
    </w:rPr>
  </w:style>
  <w:style w:type="paragraph" w:customStyle="1" w:styleId="213">
    <w:name w:val="正文文本缩进11"/>
    <w:basedOn w:val="1"/>
    <w:qFormat/>
    <w:uiPriority w:val="0"/>
    <w:pPr>
      <w:ind w:firstLine="225"/>
    </w:pPr>
    <w:rPr>
      <w:rFonts w:ascii="仿宋_GB2312" w:eastAsia="仿宋_GB2312"/>
      <w:sz w:val="32"/>
    </w:rPr>
  </w:style>
  <w:style w:type="paragraph" w:customStyle="1" w:styleId="214">
    <w:name w:val="文本块11"/>
    <w:basedOn w:val="1"/>
    <w:qFormat/>
    <w:uiPriority w:val="0"/>
    <w:pPr>
      <w:spacing w:line="360" w:lineRule="exact"/>
      <w:ind w:left="1548" w:right="12" w:hanging="2405"/>
    </w:pPr>
    <w:rPr>
      <w:rFonts w:ascii="宋体"/>
      <w:bCs/>
      <w:sz w:val="28"/>
      <w:szCs w:val="22"/>
    </w:rPr>
  </w:style>
  <w:style w:type="paragraph" w:customStyle="1" w:styleId="215">
    <w:name w:val="列表项目符号 21"/>
    <w:basedOn w:val="1"/>
    <w:qFormat/>
    <w:uiPriority w:val="0"/>
    <w:pPr>
      <w:tabs>
        <w:tab w:val="left" w:pos="720"/>
      </w:tabs>
      <w:spacing w:line="360" w:lineRule="auto"/>
      <w:ind w:left="720" w:hanging="360"/>
    </w:pPr>
    <w:rPr>
      <w:sz w:val="24"/>
    </w:rPr>
  </w:style>
  <w:style w:type="paragraph" w:customStyle="1" w:styleId="216">
    <w:name w:val="HTML 地址1"/>
    <w:basedOn w:val="1"/>
    <w:qFormat/>
    <w:uiPriority w:val="0"/>
    <w:rPr>
      <w:i/>
      <w:iCs/>
    </w:rPr>
  </w:style>
  <w:style w:type="paragraph" w:customStyle="1" w:styleId="217">
    <w:name w:val="索引 41"/>
    <w:basedOn w:val="1"/>
    <w:next w:val="1"/>
    <w:qFormat/>
    <w:uiPriority w:val="0"/>
    <w:pPr>
      <w:ind w:left="600"/>
    </w:pPr>
    <w:rPr>
      <w:rFonts w:ascii="Calibri" w:hAnsi="Calibri"/>
      <w:szCs w:val="22"/>
    </w:rPr>
  </w:style>
  <w:style w:type="paragraph" w:customStyle="1" w:styleId="218">
    <w:name w:val="目录 51"/>
    <w:basedOn w:val="1"/>
    <w:next w:val="1"/>
    <w:qFormat/>
    <w:uiPriority w:val="0"/>
    <w:pPr>
      <w:ind w:left="840"/>
      <w:jc w:val="left"/>
    </w:pPr>
    <w:rPr>
      <w:rFonts w:ascii="Calibri" w:hAnsi="Calibri" w:cs="Calibri"/>
      <w:sz w:val="18"/>
      <w:szCs w:val="18"/>
    </w:rPr>
  </w:style>
  <w:style w:type="paragraph" w:customStyle="1" w:styleId="219">
    <w:name w:val="目录 31"/>
    <w:basedOn w:val="1"/>
    <w:next w:val="1"/>
    <w:qFormat/>
    <w:uiPriority w:val="39"/>
    <w:pPr>
      <w:ind w:left="420"/>
      <w:jc w:val="left"/>
    </w:pPr>
    <w:rPr>
      <w:rFonts w:ascii="Calibri" w:hAnsi="Calibri" w:cs="Calibri"/>
      <w:i/>
      <w:iCs/>
      <w:sz w:val="20"/>
      <w:szCs w:val="20"/>
    </w:rPr>
  </w:style>
  <w:style w:type="paragraph" w:customStyle="1" w:styleId="220">
    <w:name w:val="纯文本11"/>
    <w:basedOn w:val="1"/>
    <w:qFormat/>
    <w:uiPriority w:val="0"/>
    <w:rPr>
      <w:rFonts w:ascii="宋体"/>
      <w:szCs w:val="21"/>
    </w:rPr>
  </w:style>
  <w:style w:type="paragraph" w:customStyle="1" w:styleId="221">
    <w:name w:val="列表项目符号 51"/>
    <w:basedOn w:val="1"/>
    <w:qFormat/>
    <w:uiPriority w:val="0"/>
    <w:pPr>
      <w:tabs>
        <w:tab w:val="left" w:pos="720"/>
      </w:tabs>
      <w:spacing w:line="380" w:lineRule="exact"/>
      <w:ind w:left="720" w:hanging="360"/>
    </w:pPr>
    <w:rPr>
      <w:rFonts w:ascii="Calibri" w:hAnsi="Calibri"/>
      <w:sz w:val="28"/>
      <w:szCs w:val="22"/>
    </w:rPr>
  </w:style>
  <w:style w:type="paragraph" w:customStyle="1" w:styleId="222">
    <w:name w:val="目录 81"/>
    <w:basedOn w:val="1"/>
    <w:next w:val="1"/>
    <w:qFormat/>
    <w:uiPriority w:val="0"/>
    <w:pPr>
      <w:ind w:left="1470"/>
      <w:jc w:val="left"/>
    </w:pPr>
    <w:rPr>
      <w:rFonts w:ascii="Calibri" w:hAnsi="Calibri" w:cs="Calibri"/>
      <w:sz w:val="18"/>
      <w:szCs w:val="18"/>
    </w:rPr>
  </w:style>
  <w:style w:type="paragraph" w:customStyle="1" w:styleId="223">
    <w:name w:val="索引 31"/>
    <w:basedOn w:val="1"/>
    <w:next w:val="1"/>
    <w:qFormat/>
    <w:uiPriority w:val="0"/>
    <w:pPr>
      <w:ind w:left="400"/>
    </w:pPr>
    <w:rPr>
      <w:rFonts w:ascii="Calibri" w:hAnsi="Calibri"/>
      <w:szCs w:val="22"/>
    </w:rPr>
  </w:style>
  <w:style w:type="paragraph" w:customStyle="1" w:styleId="224">
    <w:name w:val="日期1"/>
    <w:basedOn w:val="1"/>
    <w:next w:val="1"/>
    <w:qFormat/>
    <w:uiPriority w:val="0"/>
    <w:pPr>
      <w:ind w:left="2500"/>
    </w:pPr>
  </w:style>
  <w:style w:type="paragraph" w:customStyle="1" w:styleId="225">
    <w:name w:val="正文文本缩进 21"/>
    <w:basedOn w:val="1"/>
    <w:qFormat/>
    <w:uiPriority w:val="0"/>
    <w:pPr>
      <w:spacing w:line="540" w:lineRule="exact"/>
      <w:ind w:firstLine="225"/>
      <w:jc w:val="left"/>
    </w:pPr>
    <w:rPr>
      <w:rFonts w:ascii="仿宋_GB2312" w:eastAsia="仿宋_GB2312"/>
      <w:sz w:val="32"/>
    </w:rPr>
  </w:style>
  <w:style w:type="paragraph" w:customStyle="1" w:styleId="226">
    <w:name w:val="尾注文本1"/>
    <w:basedOn w:val="1"/>
    <w:qFormat/>
    <w:uiPriority w:val="0"/>
    <w:pPr>
      <w:widowControl/>
      <w:jc w:val="left"/>
    </w:pPr>
    <w:rPr>
      <w:rFonts w:ascii="宋体"/>
      <w:bCs/>
      <w:szCs w:val="21"/>
    </w:rPr>
  </w:style>
  <w:style w:type="paragraph" w:customStyle="1" w:styleId="227">
    <w:name w:val="批注框文本1"/>
    <w:basedOn w:val="1"/>
    <w:qFormat/>
    <w:uiPriority w:val="0"/>
    <w:rPr>
      <w:sz w:val="18"/>
      <w:szCs w:val="20"/>
    </w:rPr>
  </w:style>
  <w:style w:type="paragraph" w:customStyle="1" w:styleId="228">
    <w:name w:val="页脚1"/>
    <w:basedOn w:val="1"/>
    <w:link w:val="229"/>
    <w:qFormat/>
    <w:uiPriority w:val="99"/>
    <w:pPr>
      <w:tabs>
        <w:tab w:val="center" w:pos="4153"/>
        <w:tab w:val="right" w:pos="8306"/>
      </w:tabs>
      <w:jc w:val="left"/>
    </w:pPr>
    <w:rPr>
      <w:rFonts w:ascii="Calibri" w:hAnsi="Calibri"/>
      <w:sz w:val="18"/>
      <w:szCs w:val="18"/>
    </w:rPr>
  </w:style>
  <w:style w:type="character" w:customStyle="1" w:styleId="229">
    <w:name w:val="页脚 字符"/>
    <w:link w:val="228"/>
    <w:qFormat/>
    <w:uiPriority w:val="99"/>
    <w:rPr>
      <w:rFonts w:ascii="Calibri" w:hAnsi="Calibri" w:eastAsia="宋体" w:cs="Times New Roman"/>
      <w:sz w:val="18"/>
      <w:szCs w:val="18"/>
    </w:rPr>
  </w:style>
  <w:style w:type="paragraph" w:customStyle="1" w:styleId="230">
    <w:name w:val="寄信人地址11"/>
    <w:basedOn w:val="1"/>
    <w:qFormat/>
    <w:uiPriority w:val="0"/>
    <w:rPr>
      <w:rFonts w:ascii="Arial" w:hAnsi="Arial"/>
    </w:rPr>
  </w:style>
  <w:style w:type="paragraph" w:customStyle="1" w:styleId="231">
    <w:name w:val="页眉1"/>
    <w:basedOn w:val="1"/>
    <w:link w:val="232"/>
    <w:qFormat/>
    <w:uiPriority w:val="99"/>
    <w:pPr>
      <w:pBdr>
        <w:bottom w:val="single" w:color="000000" w:sz="6" w:space="1"/>
      </w:pBdr>
      <w:tabs>
        <w:tab w:val="center" w:pos="4153"/>
        <w:tab w:val="right" w:pos="8306"/>
      </w:tabs>
      <w:jc w:val="center"/>
    </w:pPr>
    <w:rPr>
      <w:sz w:val="18"/>
      <w:szCs w:val="18"/>
    </w:rPr>
  </w:style>
  <w:style w:type="character" w:customStyle="1" w:styleId="232">
    <w:name w:val="页眉 字符"/>
    <w:link w:val="231"/>
    <w:qFormat/>
    <w:uiPriority w:val="99"/>
    <w:rPr>
      <w:sz w:val="18"/>
      <w:szCs w:val="18"/>
    </w:rPr>
  </w:style>
  <w:style w:type="paragraph" w:customStyle="1" w:styleId="233">
    <w:name w:val="目录 11"/>
    <w:basedOn w:val="1"/>
    <w:next w:val="1"/>
    <w:qFormat/>
    <w:uiPriority w:val="39"/>
    <w:pPr>
      <w:spacing w:before="120" w:after="120"/>
      <w:jc w:val="left"/>
    </w:pPr>
    <w:rPr>
      <w:rFonts w:ascii="Calibri" w:hAnsi="Calibri" w:cs="Calibri"/>
      <w:b/>
      <w:bCs/>
      <w:caps/>
      <w:sz w:val="20"/>
      <w:szCs w:val="20"/>
    </w:rPr>
  </w:style>
  <w:style w:type="paragraph" w:customStyle="1" w:styleId="234">
    <w:name w:val="目录 41"/>
    <w:basedOn w:val="1"/>
    <w:next w:val="1"/>
    <w:qFormat/>
    <w:uiPriority w:val="0"/>
    <w:pPr>
      <w:ind w:left="630"/>
      <w:jc w:val="left"/>
    </w:pPr>
    <w:rPr>
      <w:rFonts w:ascii="Calibri" w:hAnsi="Calibri" w:cs="Calibri"/>
      <w:sz w:val="18"/>
      <w:szCs w:val="18"/>
    </w:rPr>
  </w:style>
  <w:style w:type="paragraph" w:customStyle="1" w:styleId="235">
    <w:name w:val="索引标题1"/>
    <w:basedOn w:val="1"/>
    <w:next w:val="236"/>
    <w:qFormat/>
    <w:uiPriority w:val="0"/>
    <w:rPr>
      <w:rFonts w:ascii="Calibri" w:hAnsi="Calibri"/>
      <w:szCs w:val="22"/>
    </w:rPr>
  </w:style>
  <w:style w:type="paragraph" w:customStyle="1" w:styleId="236">
    <w:name w:val="索引 11"/>
    <w:basedOn w:val="1"/>
    <w:next w:val="1"/>
    <w:qFormat/>
    <w:uiPriority w:val="0"/>
    <w:rPr>
      <w:rFonts w:ascii="Calibri" w:hAnsi="Calibri"/>
      <w:szCs w:val="22"/>
    </w:rPr>
  </w:style>
  <w:style w:type="paragraph" w:customStyle="1" w:styleId="237">
    <w:name w:val="脚注文本1"/>
    <w:basedOn w:val="1"/>
    <w:qFormat/>
    <w:uiPriority w:val="0"/>
    <w:pPr>
      <w:jc w:val="left"/>
    </w:pPr>
    <w:rPr>
      <w:rFonts w:ascii="宋体"/>
      <w:bCs/>
      <w:sz w:val="18"/>
      <w:szCs w:val="18"/>
    </w:rPr>
  </w:style>
  <w:style w:type="paragraph" w:customStyle="1" w:styleId="238">
    <w:name w:val="目录 61"/>
    <w:basedOn w:val="1"/>
    <w:next w:val="1"/>
    <w:qFormat/>
    <w:uiPriority w:val="0"/>
    <w:pPr>
      <w:ind w:left="1050"/>
      <w:jc w:val="left"/>
    </w:pPr>
    <w:rPr>
      <w:rFonts w:ascii="Calibri" w:hAnsi="Calibri" w:cs="Calibri"/>
      <w:sz w:val="18"/>
      <w:szCs w:val="18"/>
    </w:rPr>
  </w:style>
  <w:style w:type="paragraph" w:customStyle="1" w:styleId="239">
    <w:name w:val="正文文本缩进 31"/>
    <w:basedOn w:val="1"/>
    <w:qFormat/>
    <w:uiPriority w:val="0"/>
    <w:pPr>
      <w:ind w:firstLine="213"/>
    </w:pPr>
    <w:rPr>
      <w:rFonts w:ascii="仿宋_GB2312" w:eastAsia="仿宋_GB2312"/>
      <w:sz w:val="30"/>
    </w:rPr>
  </w:style>
  <w:style w:type="paragraph" w:customStyle="1" w:styleId="240">
    <w:name w:val="索引 71"/>
    <w:basedOn w:val="1"/>
    <w:next w:val="1"/>
    <w:qFormat/>
    <w:uiPriority w:val="0"/>
    <w:pPr>
      <w:ind w:left="1200"/>
    </w:pPr>
    <w:rPr>
      <w:rFonts w:ascii="Calibri" w:hAnsi="Calibri"/>
      <w:szCs w:val="22"/>
    </w:rPr>
  </w:style>
  <w:style w:type="paragraph" w:customStyle="1" w:styleId="241">
    <w:name w:val="图表目录11"/>
    <w:basedOn w:val="1"/>
    <w:next w:val="1"/>
    <w:qFormat/>
    <w:uiPriority w:val="0"/>
    <w:pPr>
      <w:widowControl/>
      <w:ind w:left="400" w:hanging="200"/>
      <w:jc w:val="left"/>
    </w:pPr>
    <w:rPr>
      <w:rFonts w:ascii="宋体"/>
      <w:bCs/>
      <w:szCs w:val="21"/>
    </w:rPr>
  </w:style>
  <w:style w:type="paragraph" w:customStyle="1" w:styleId="242">
    <w:name w:val="目录 21"/>
    <w:basedOn w:val="1"/>
    <w:next w:val="1"/>
    <w:qFormat/>
    <w:uiPriority w:val="39"/>
    <w:pPr>
      <w:ind w:left="210"/>
      <w:jc w:val="left"/>
    </w:pPr>
    <w:rPr>
      <w:rFonts w:ascii="Calibri" w:hAnsi="Calibri" w:cs="Calibri"/>
      <w:smallCaps/>
      <w:sz w:val="20"/>
      <w:szCs w:val="20"/>
    </w:rPr>
  </w:style>
  <w:style w:type="paragraph" w:customStyle="1" w:styleId="243">
    <w:name w:val="目录 91"/>
    <w:basedOn w:val="1"/>
    <w:next w:val="1"/>
    <w:qFormat/>
    <w:uiPriority w:val="0"/>
    <w:pPr>
      <w:ind w:left="1680"/>
      <w:jc w:val="left"/>
    </w:pPr>
    <w:rPr>
      <w:rFonts w:ascii="Calibri" w:hAnsi="Calibri" w:cs="Calibri"/>
      <w:sz w:val="18"/>
      <w:szCs w:val="18"/>
    </w:rPr>
  </w:style>
  <w:style w:type="paragraph" w:customStyle="1" w:styleId="244">
    <w:name w:val="正文文本 21"/>
    <w:basedOn w:val="1"/>
    <w:qFormat/>
    <w:uiPriority w:val="0"/>
    <w:pPr>
      <w:spacing w:line="560" w:lineRule="exact"/>
    </w:pPr>
    <w:rPr>
      <w:rFonts w:ascii="仿宋_GB2312" w:eastAsia="仿宋_GB2312"/>
      <w:sz w:val="28"/>
      <w:szCs w:val="30"/>
    </w:rPr>
  </w:style>
  <w:style w:type="paragraph" w:customStyle="1" w:styleId="245">
    <w:name w:val="列表接续 21"/>
    <w:basedOn w:val="1"/>
    <w:qFormat/>
    <w:uiPriority w:val="0"/>
    <w:pPr>
      <w:spacing w:after="120"/>
      <w:ind w:left="840"/>
    </w:pPr>
  </w:style>
  <w:style w:type="paragraph" w:customStyle="1" w:styleId="24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lang w:bidi="ar-SA"/>
    </w:rPr>
  </w:style>
  <w:style w:type="paragraph" w:customStyle="1" w:styleId="247">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48">
    <w:name w:val="索引 21"/>
    <w:basedOn w:val="1"/>
    <w:next w:val="1"/>
    <w:qFormat/>
    <w:uiPriority w:val="0"/>
    <w:pPr>
      <w:ind w:left="200"/>
    </w:pPr>
    <w:rPr>
      <w:rFonts w:ascii="Calibri" w:hAnsi="Calibri"/>
      <w:szCs w:val="22"/>
    </w:rPr>
  </w:style>
  <w:style w:type="paragraph" w:customStyle="1" w:styleId="249">
    <w:name w:val="标题1"/>
    <w:basedOn w:val="1"/>
    <w:qFormat/>
    <w:uiPriority w:val="0"/>
    <w:pPr>
      <w:spacing w:before="240" w:after="60"/>
      <w:jc w:val="center"/>
      <w:outlineLvl w:val="0"/>
    </w:pPr>
    <w:rPr>
      <w:rFonts w:ascii="Cambria" w:hAnsi="Cambria"/>
      <w:b/>
      <w:bCs/>
      <w:sz w:val="32"/>
      <w:szCs w:val="32"/>
    </w:rPr>
  </w:style>
  <w:style w:type="paragraph" w:customStyle="1" w:styleId="250">
    <w:name w:val="批注主题1"/>
    <w:basedOn w:val="206"/>
    <w:next w:val="206"/>
    <w:qFormat/>
    <w:uiPriority w:val="0"/>
    <w:rPr>
      <w:b/>
    </w:rPr>
  </w:style>
  <w:style w:type="paragraph" w:customStyle="1" w:styleId="251">
    <w:name w:val="正文首行缩进1"/>
    <w:basedOn w:val="1"/>
    <w:next w:val="1"/>
    <w:qFormat/>
    <w:uiPriority w:val="0"/>
    <w:pPr>
      <w:spacing w:after="120" w:line="240" w:lineRule="auto"/>
      <w:ind w:firstLine="100"/>
    </w:pPr>
    <w:rPr>
      <w:rFonts w:ascii="Times New Roman" w:hAnsi="Times New Roman" w:eastAsia="宋体"/>
      <w:sz w:val="21"/>
    </w:rPr>
  </w:style>
  <w:style w:type="paragraph" w:customStyle="1" w:styleId="252">
    <w:name w:val="正文首行缩进 211"/>
    <w:basedOn w:val="213"/>
    <w:link w:val="253"/>
    <w:qFormat/>
    <w:uiPriority w:val="0"/>
    <w:pPr>
      <w:spacing w:after="120"/>
      <w:ind w:left="200" w:firstLine="200"/>
    </w:pPr>
    <w:rPr>
      <w:rFonts w:ascii="Times New Roman"/>
      <w:sz w:val="24"/>
      <w:szCs w:val="24"/>
    </w:rPr>
  </w:style>
  <w:style w:type="character" w:customStyle="1" w:styleId="253">
    <w:name w:val="正文文本首行缩进 2 字符"/>
    <w:link w:val="252"/>
    <w:qFormat/>
    <w:uiPriority w:val="0"/>
    <w:rPr>
      <w:rFonts w:eastAsia="仿宋_GB2312"/>
      <w:sz w:val="24"/>
      <w:szCs w:val="24"/>
      <w:lang w:bidi="ar-SA"/>
    </w:rPr>
  </w:style>
  <w:style w:type="table" w:customStyle="1" w:styleId="254">
    <w:name w:val="网格型1"/>
    <w:basedOn w:val="192"/>
    <w:qFormat/>
    <w:uiPriority w:val="0"/>
  </w:style>
  <w:style w:type="character" w:customStyle="1" w:styleId="255">
    <w:name w:val="要点1"/>
    <w:link w:val="1"/>
    <w:qFormat/>
    <w:uiPriority w:val="0"/>
    <w:rPr>
      <w:b/>
    </w:rPr>
  </w:style>
  <w:style w:type="character" w:customStyle="1" w:styleId="256">
    <w:name w:val="尾注引用1"/>
    <w:link w:val="1"/>
    <w:qFormat/>
    <w:uiPriority w:val="0"/>
    <w:rPr>
      <w:vertAlign w:val="superscript"/>
    </w:rPr>
  </w:style>
  <w:style w:type="character" w:customStyle="1" w:styleId="257">
    <w:name w:val="页码1"/>
    <w:link w:val="1"/>
    <w:qFormat/>
    <w:uiPriority w:val="0"/>
  </w:style>
  <w:style w:type="character" w:customStyle="1" w:styleId="258">
    <w:name w:val="已访问的超链接1"/>
    <w:link w:val="1"/>
    <w:qFormat/>
    <w:uiPriority w:val="0"/>
    <w:rPr>
      <w:color w:val="800080"/>
      <w:u w:val="single"/>
    </w:rPr>
  </w:style>
  <w:style w:type="character" w:customStyle="1" w:styleId="259">
    <w:name w:val="强调1"/>
    <w:link w:val="1"/>
    <w:qFormat/>
    <w:uiPriority w:val="0"/>
    <w:rPr>
      <w:color w:val="CC0033"/>
    </w:rPr>
  </w:style>
  <w:style w:type="character" w:customStyle="1" w:styleId="260">
    <w:name w:val="HTML 打字机1"/>
    <w:link w:val="1"/>
    <w:qFormat/>
    <w:uiPriority w:val="0"/>
    <w:rPr>
      <w:rFonts w:ascii="宋体" w:eastAsia="宋体" w:cs="宋体"/>
      <w:sz w:val="24"/>
      <w:szCs w:val="24"/>
      <w:lang w:bidi="ar-SA"/>
    </w:rPr>
  </w:style>
  <w:style w:type="character" w:customStyle="1" w:styleId="261">
    <w:name w:val="超链接1"/>
    <w:link w:val="1"/>
    <w:qFormat/>
    <w:uiPriority w:val="99"/>
    <w:rPr>
      <w:color w:val="0000FF"/>
      <w:u w:val="single"/>
    </w:rPr>
  </w:style>
  <w:style w:type="character" w:customStyle="1" w:styleId="262">
    <w:name w:val="批注引用1"/>
    <w:link w:val="1"/>
    <w:qFormat/>
    <w:uiPriority w:val="0"/>
    <w:rPr>
      <w:sz w:val="21"/>
    </w:rPr>
  </w:style>
  <w:style w:type="character" w:customStyle="1" w:styleId="263">
    <w:name w:val="脚注引用1"/>
    <w:link w:val="1"/>
    <w:qFormat/>
    <w:uiPriority w:val="0"/>
    <w:rPr>
      <w:vertAlign w:val="superscript"/>
    </w:rPr>
  </w:style>
  <w:style w:type="paragraph" w:customStyle="1" w:styleId="264">
    <w:name w:val="样式 正文首行缩进 2 + Arial"/>
    <w:basedOn w:val="1"/>
    <w:next w:val="1"/>
    <w:qFormat/>
    <w:uiPriority w:val="0"/>
    <w:pPr>
      <w:spacing w:after="120" w:line="320" w:lineRule="atLeast"/>
      <w:ind w:firstLine="200"/>
    </w:pPr>
    <w:rPr>
      <w:rFonts w:ascii="Arial" w:hAnsi="Arial"/>
    </w:rPr>
  </w:style>
  <w:style w:type="character" w:customStyle="1" w:styleId="265">
    <w:name w:val="Comment Text Char"/>
    <w:link w:val="1"/>
    <w:qFormat/>
    <w:uiPriority w:val="0"/>
    <w:rPr>
      <w:rFonts w:cs="Times New Roman"/>
      <w:sz w:val="21"/>
      <w:szCs w:val="21"/>
      <w:lang w:bidi="ar-SA"/>
    </w:rPr>
  </w:style>
  <w:style w:type="character" w:customStyle="1" w:styleId="266">
    <w:name w:val="纯文本 Char_0"/>
    <w:link w:val="267"/>
    <w:qFormat/>
    <w:uiPriority w:val="0"/>
    <w:rPr>
      <w:rFonts w:ascii="宋体" w:hAnsi="Courier New" w:cs="Courier New"/>
      <w:sz w:val="21"/>
      <w:szCs w:val="21"/>
    </w:rPr>
  </w:style>
  <w:style w:type="paragraph" w:customStyle="1" w:styleId="267">
    <w:name w:val="纯文本_0"/>
    <w:basedOn w:val="268"/>
    <w:link w:val="266"/>
    <w:unhideWhenUsed/>
    <w:qFormat/>
    <w:uiPriority w:val="0"/>
    <w:rPr>
      <w:rFonts w:ascii="宋体" w:hAnsi="Courier New"/>
      <w:szCs w:val="21"/>
    </w:rPr>
  </w:style>
  <w:style w:type="paragraph" w:customStyle="1" w:styleId="268">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69">
    <w:name w:val="ca-51"/>
    <w:link w:val="1"/>
    <w:qFormat/>
    <w:uiPriority w:val="0"/>
    <w:rPr>
      <w:rFonts w:ascii="楷体_GB2312" w:eastAsia="楷体_GB2312"/>
      <w:b/>
      <w:bCs/>
      <w:spacing w:val="-20"/>
      <w:sz w:val="24"/>
      <w:szCs w:val="24"/>
    </w:rPr>
  </w:style>
  <w:style w:type="character" w:customStyle="1" w:styleId="270">
    <w:name w:val="Heading 4 Char"/>
    <w:link w:val="1"/>
    <w:qFormat/>
    <w:uiPriority w:val="0"/>
    <w:rPr>
      <w:rFonts w:ascii="Cambria" w:hAnsi="Cambria" w:eastAsia="宋体" w:cs="Cambria"/>
      <w:b/>
      <w:bCs/>
      <w:sz w:val="28"/>
      <w:szCs w:val="28"/>
      <w:lang w:bidi="ar-SA"/>
    </w:rPr>
  </w:style>
  <w:style w:type="character" w:customStyle="1" w:styleId="271">
    <w:name w:val="正文缩进 Char1_0"/>
    <w:link w:val="272"/>
    <w:qFormat/>
    <w:uiPriority w:val="0"/>
    <w:rPr>
      <w:sz w:val="21"/>
      <w:szCs w:val="22"/>
    </w:rPr>
  </w:style>
  <w:style w:type="paragraph" w:customStyle="1" w:styleId="272">
    <w:name w:val="正文缩进_0"/>
    <w:basedOn w:val="268"/>
    <w:link w:val="271"/>
    <w:unhideWhenUsed/>
    <w:qFormat/>
    <w:uiPriority w:val="0"/>
    <w:pPr>
      <w:ind w:firstLine="420"/>
    </w:pPr>
    <w:rPr>
      <w:szCs w:val="22"/>
    </w:rPr>
  </w:style>
  <w:style w:type="character" w:customStyle="1" w:styleId="273">
    <w:name w:val="Header Char1"/>
    <w:link w:val="1"/>
    <w:qFormat/>
    <w:uiPriority w:val="0"/>
    <w:rPr>
      <w:rFonts w:cs="Times New Roman"/>
      <w:sz w:val="18"/>
      <w:szCs w:val="18"/>
      <w:lang w:bidi="ar-SA"/>
    </w:rPr>
  </w:style>
  <w:style w:type="character" w:customStyle="1" w:styleId="274">
    <w:name w:val="正文文本缩进 2 Char"/>
    <w:link w:val="275"/>
    <w:qFormat/>
    <w:uiPriority w:val="0"/>
    <w:rPr>
      <w:rFonts w:hAnsi="Times New Roman"/>
      <w:sz w:val="21"/>
      <w:szCs w:val="20"/>
    </w:rPr>
  </w:style>
  <w:style w:type="paragraph" w:customStyle="1" w:styleId="275">
    <w:name w:val="正文文本缩进 2_0"/>
    <w:basedOn w:val="276"/>
    <w:link w:val="274"/>
    <w:qFormat/>
    <w:uiPriority w:val="0"/>
    <w:pPr>
      <w:spacing w:line="420" w:lineRule="exact"/>
      <w:ind w:firstLine="525"/>
    </w:pPr>
  </w:style>
  <w:style w:type="paragraph" w:customStyle="1" w:styleId="276">
    <w:name w:val="正文_2"/>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277">
    <w:name w:val="Heading 3 Char"/>
    <w:link w:val="1"/>
    <w:qFormat/>
    <w:uiPriority w:val="0"/>
    <w:rPr>
      <w:rFonts w:cs="Times New Roman"/>
      <w:b/>
      <w:bCs/>
      <w:sz w:val="32"/>
      <w:szCs w:val="32"/>
      <w:lang w:bidi="ar-SA"/>
    </w:rPr>
  </w:style>
  <w:style w:type="character" w:customStyle="1" w:styleId="278">
    <w:name w:val="ca-21"/>
    <w:link w:val="1"/>
    <w:qFormat/>
    <w:uiPriority w:val="0"/>
    <w:rPr>
      <w:rFonts w:ascii="宋体" w:eastAsia="宋体"/>
      <w:sz w:val="21"/>
    </w:rPr>
  </w:style>
  <w:style w:type="character" w:customStyle="1" w:styleId="279">
    <w:name w:val="Plain Text Char"/>
    <w:link w:val="1"/>
    <w:qFormat/>
    <w:uiPriority w:val="0"/>
    <w:rPr>
      <w:rFonts w:ascii="宋体" w:eastAsia="宋体"/>
      <w:sz w:val="21"/>
      <w:lang w:val="en-US" w:eastAsia="zh-CN"/>
    </w:rPr>
  </w:style>
  <w:style w:type="character" w:customStyle="1" w:styleId="280">
    <w:name w:val="maywed421"/>
    <w:link w:val="1"/>
    <w:qFormat/>
    <w:uiPriority w:val="0"/>
    <w:rPr>
      <w:color w:val="366FB6"/>
      <w:u w:val="none"/>
    </w:rPr>
  </w:style>
  <w:style w:type="character" w:customStyle="1" w:styleId="281">
    <w:name w:val="纯文本 Char_0_0"/>
    <w:link w:val="282"/>
    <w:qFormat/>
    <w:uiPriority w:val="0"/>
    <w:rPr>
      <w:rFonts w:ascii="宋体" w:hAnsi="Courier New"/>
      <w:sz w:val="21"/>
      <w:szCs w:val="21"/>
    </w:rPr>
  </w:style>
  <w:style w:type="paragraph" w:customStyle="1" w:styleId="282">
    <w:name w:val="纯文本_0_0"/>
    <w:basedOn w:val="283"/>
    <w:link w:val="281"/>
    <w:unhideWhenUsed/>
    <w:qFormat/>
    <w:uiPriority w:val="0"/>
    <w:rPr>
      <w:rFonts w:ascii="宋体" w:hAnsi="Courier New"/>
      <w:szCs w:val="21"/>
    </w:rPr>
  </w:style>
  <w:style w:type="paragraph" w:customStyle="1" w:styleId="283">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84">
    <w:name w:val="style15"/>
    <w:link w:val="1"/>
    <w:qFormat/>
    <w:uiPriority w:val="0"/>
  </w:style>
  <w:style w:type="character" w:customStyle="1" w:styleId="285">
    <w:name w:val="正文（标记） Char2"/>
    <w:link w:val="286"/>
    <w:qFormat/>
    <w:uiPriority w:val="0"/>
    <w:rPr>
      <w:sz w:val="24"/>
      <w:szCs w:val="24"/>
    </w:rPr>
  </w:style>
  <w:style w:type="paragraph" w:customStyle="1" w:styleId="286">
    <w:name w:val="正文（标记）"/>
    <w:basedOn w:val="1"/>
    <w:link w:val="285"/>
    <w:qFormat/>
    <w:uiPriority w:val="0"/>
    <w:pPr>
      <w:tabs>
        <w:tab w:val="left" w:pos="0"/>
        <w:tab w:val="left" w:pos="840"/>
      </w:tabs>
      <w:spacing w:before="50" w:after="50"/>
    </w:pPr>
    <w:rPr>
      <w:sz w:val="24"/>
      <w:szCs w:val="24"/>
    </w:rPr>
  </w:style>
  <w:style w:type="character" w:customStyle="1" w:styleId="287">
    <w:name w:val="段落 Char"/>
    <w:link w:val="1"/>
    <w:qFormat/>
    <w:uiPriority w:val="0"/>
    <w:rPr>
      <w:rFonts w:ascii="仿宋_GB2312" w:eastAsia="仿宋_GB2312"/>
      <w:sz w:val="24"/>
      <w:szCs w:val="24"/>
      <w:lang w:val="en-US" w:eastAsia="zh-CN" w:bidi="ar-SA"/>
    </w:rPr>
  </w:style>
  <w:style w:type="character" w:customStyle="1" w:styleId="288">
    <w:name w:val=" Char Char2"/>
    <w:link w:val="1"/>
    <w:qFormat/>
    <w:uiPriority w:val="0"/>
    <w:rPr>
      <w:sz w:val="18"/>
      <w:szCs w:val="18"/>
    </w:rPr>
  </w:style>
  <w:style w:type="character" w:customStyle="1" w:styleId="289">
    <w:name w:val="style91"/>
    <w:link w:val="1"/>
    <w:qFormat/>
    <w:uiPriority w:val="0"/>
    <w:rPr>
      <w:color w:val="2060C0"/>
      <w:sz w:val="24"/>
      <w:szCs w:val="24"/>
    </w:rPr>
  </w:style>
  <w:style w:type="character" w:customStyle="1" w:styleId="290">
    <w:name w:val="普通文字1 Char"/>
    <w:link w:val="1"/>
    <w:qFormat/>
    <w:uiPriority w:val="0"/>
    <w:rPr>
      <w:rFonts w:ascii="宋体" w:eastAsia="宋体" w:cs="Courier New"/>
      <w:sz w:val="21"/>
      <w:szCs w:val="21"/>
      <w:lang w:val="en-US" w:eastAsia="zh-CN" w:bidi="ar-SA"/>
    </w:rPr>
  </w:style>
  <w:style w:type="character" w:customStyle="1" w:styleId="291">
    <w:name w:val="正文文本缩进 Char"/>
    <w:link w:val="292"/>
    <w:qFormat/>
    <w:uiPriority w:val="0"/>
    <w:rPr>
      <w:rFonts w:hAnsi="Times New Roman"/>
      <w:szCs w:val="20"/>
    </w:rPr>
  </w:style>
  <w:style w:type="paragraph" w:customStyle="1" w:styleId="292">
    <w:name w:val="正文文本缩进_0"/>
    <w:basedOn w:val="276"/>
    <w:link w:val="291"/>
    <w:qFormat/>
    <w:uiPriority w:val="0"/>
    <w:pPr>
      <w:spacing w:line="360" w:lineRule="auto"/>
      <w:ind w:firstLine="420"/>
    </w:pPr>
    <w:rPr>
      <w:sz w:val="20"/>
    </w:rPr>
  </w:style>
  <w:style w:type="character" w:customStyle="1" w:styleId="293">
    <w:name w:val="Char Char2"/>
    <w:link w:val="1"/>
    <w:qFormat/>
    <w:uiPriority w:val="0"/>
    <w:rPr>
      <w:sz w:val="18"/>
      <w:szCs w:val="18"/>
    </w:rPr>
  </w:style>
  <w:style w:type="character" w:customStyle="1" w:styleId="294">
    <w:name w:val="ca-41"/>
    <w:link w:val="1"/>
    <w:qFormat/>
    <w:uiPriority w:val="0"/>
    <w:rPr>
      <w:rFonts w:ascii="宋体" w:eastAsia="宋体"/>
      <w:b/>
      <w:bCs/>
      <w:color w:val="000000"/>
      <w:spacing w:val="-20"/>
      <w:sz w:val="21"/>
      <w:szCs w:val="21"/>
    </w:rPr>
  </w:style>
  <w:style w:type="character" w:customStyle="1" w:styleId="295">
    <w:name w:val="question-title"/>
    <w:link w:val="1"/>
    <w:qFormat/>
    <w:uiPriority w:val="0"/>
  </w:style>
  <w:style w:type="character" w:customStyle="1" w:styleId="296">
    <w:name w:val="A1"/>
    <w:link w:val="1"/>
    <w:qFormat/>
    <w:uiPriority w:val="0"/>
    <w:rPr>
      <w:rFonts w:ascii="Univers LT Std 45 Light" w:hAnsi="宋体" w:eastAsia="Univers LT Std 45 Light" w:cs="Univers LT Std 45 Light"/>
      <w:color w:val="221E1F"/>
      <w:sz w:val="10"/>
      <w:szCs w:val="10"/>
    </w:rPr>
  </w:style>
  <w:style w:type="character" w:customStyle="1" w:styleId="297">
    <w:name w:val="style161"/>
    <w:link w:val="1"/>
    <w:qFormat/>
    <w:uiPriority w:val="0"/>
    <w:rPr>
      <w:rFonts w:ascii="Verdana" w:hAnsi="Verdana" w:eastAsia="宋体"/>
      <w:b/>
      <w:color w:val="0A246A"/>
      <w:sz w:val="24"/>
      <w:szCs w:val="24"/>
      <w:lang w:val="en-US" w:eastAsia="zh-CN" w:bidi="ar-SA"/>
    </w:rPr>
  </w:style>
  <w:style w:type="character" w:customStyle="1" w:styleId="298">
    <w:name w:val="ca-31"/>
    <w:link w:val="1"/>
    <w:qFormat/>
    <w:uiPriority w:val="0"/>
    <w:rPr>
      <w:rFonts w:ascii="宋体" w:eastAsia="宋体"/>
      <w:color w:val="000000"/>
      <w:sz w:val="21"/>
      <w:szCs w:val="21"/>
    </w:rPr>
  </w:style>
  <w:style w:type="character" w:customStyle="1" w:styleId="299">
    <w:name w:val="apple-converted-space"/>
    <w:link w:val="1"/>
    <w:qFormat/>
    <w:uiPriority w:val="0"/>
  </w:style>
  <w:style w:type="character" w:customStyle="1" w:styleId="300">
    <w:name w:val="Footer Char1"/>
    <w:link w:val="1"/>
    <w:qFormat/>
    <w:uiPriority w:val="0"/>
    <w:rPr>
      <w:rFonts w:cs="Times New Roman"/>
      <w:sz w:val="18"/>
      <w:szCs w:val="18"/>
      <w:lang w:bidi="ar-SA"/>
    </w:rPr>
  </w:style>
  <w:style w:type="character" w:customStyle="1" w:styleId="301">
    <w:name w:val="A0"/>
    <w:link w:val="1"/>
    <w:qFormat/>
    <w:uiPriority w:val="0"/>
    <w:rPr>
      <w:rFonts w:ascii=".....?." w:hAnsi="宋体" w:eastAsia=".....?."/>
      <w:color w:val="000000"/>
      <w:sz w:val="22"/>
    </w:rPr>
  </w:style>
  <w:style w:type="character" w:customStyle="1" w:styleId="302">
    <w:name w:val=" Char Char23"/>
    <w:link w:val="1"/>
    <w:qFormat/>
    <w:uiPriority w:val="0"/>
    <w:rPr>
      <w:sz w:val="24"/>
      <w:szCs w:val="21"/>
      <w:lang w:bidi="ar-SA"/>
    </w:rPr>
  </w:style>
  <w:style w:type="character" w:customStyle="1" w:styleId="303">
    <w:name w:val="Char Char1"/>
    <w:link w:val="1"/>
    <w:qFormat/>
    <w:uiPriority w:val="0"/>
    <w:rPr>
      <w:rFonts w:ascii="宋体" w:eastAsia="宋体"/>
      <w:sz w:val="21"/>
      <w:lang w:val="en-US" w:eastAsia="zh-CN"/>
    </w:rPr>
  </w:style>
  <w:style w:type="character" w:customStyle="1" w:styleId="304">
    <w:name w:val="apple-style-span"/>
    <w:link w:val="1"/>
    <w:qFormat/>
    <w:uiPriority w:val="0"/>
    <w:rPr>
      <w:rFonts w:ascii="宋体" w:hAnsi="宋体" w:cs="Times New Roman"/>
    </w:rPr>
  </w:style>
  <w:style w:type="character" w:customStyle="1" w:styleId="305">
    <w:name w:val="无间隔 字符"/>
    <w:link w:val="306"/>
    <w:qFormat/>
    <w:uiPriority w:val="0"/>
    <w:rPr>
      <w:sz w:val="22"/>
      <w:lang w:val="en-US" w:eastAsia="zh-CN" w:bidi="ar-SA"/>
    </w:rPr>
  </w:style>
  <w:style w:type="paragraph" w:customStyle="1" w:styleId="306">
    <w:name w:val="无间隔"/>
    <w:link w:val="305"/>
    <w:qFormat/>
    <w:uiPriority w:val="0"/>
    <w:rPr>
      <w:rFonts w:hint="default" w:ascii="Times New Roman" w:hAnsi="Times New Roman" w:eastAsia="宋体" w:cs="Times New Roman"/>
      <w:sz w:val="22"/>
      <w:lang w:val="en-US" w:eastAsia="zh-CN" w:bidi="ar-SA"/>
    </w:rPr>
  </w:style>
  <w:style w:type="character" w:customStyle="1" w:styleId="307">
    <w:name w:val=" Char Char3"/>
    <w:link w:val="1"/>
    <w:qFormat/>
    <w:uiPriority w:val="0"/>
    <w:rPr>
      <w:rFonts w:ascii="宋体" w:eastAsia="宋体"/>
      <w:sz w:val="18"/>
      <w:szCs w:val="18"/>
      <w:lang w:val="en-US" w:eastAsia="zh-CN" w:bidi="ar-SA"/>
    </w:rPr>
  </w:style>
  <w:style w:type="character" w:customStyle="1" w:styleId="308">
    <w:name w:val="z12 style23"/>
    <w:link w:val="1"/>
    <w:qFormat/>
    <w:uiPriority w:val="0"/>
  </w:style>
  <w:style w:type="character" w:customStyle="1" w:styleId="309">
    <w:name w:val="font41"/>
    <w:basedOn w:val="191"/>
    <w:link w:val="1"/>
    <w:qFormat/>
    <w:uiPriority w:val="0"/>
    <w:rPr>
      <w:rFonts w:hint="eastAsia" w:ascii="宋体" w:hAnsi="宋体" w:eastAsia="宋体" w:cs="宋体"/>
      <w:color w:val="000000"/>
      <w:sz w:val="24"/>
      <w:szCs w:val="24"/>
      <w:u w:val="none"/>
    </w:rPr>
  </w:style>
  <w:style w:type="character" w:customStyle="1" w:styleId="310">
    <w:name w:val="font11"/>
    <w:basedOn w:val="33"/>
    <w:link w:val="1"/>
    <w:qFormat/>
    <w:uiPriority w:val="0"/>
    <w:rPr>
      <w:rFonts w:ascii="Times" w:hAnsi="Times" w:eastAsia="Times" w:cs="Times"/>
      <w:color w:val="000000"/>
      <w:sz w:val="24"/>
      <w:szCs w:val="24"/>
      <w:u w:val="none"/>
    </w:rPr>
  </w:style>
  <w:style w:type="character" w:customStyle="1" w:styleId="311">
    <w:name w:val="Plain Text Char1"/>
    <w:link w:val="1"/>
    <w:qFormat/>
    <w:uiPriority w:val="0"/>
    <w:rPr>
      <w:rFonts w:ascii="宋体" w:eastAsia="宋体"/>
      <w:sz w:val="21"/>
      <w:szCs w:val="21"/>
      <w:lang w:val="en-US" w:eastAsia="zh-CN" w:bidi="ar-SA"/>
    </w:rPr>
  </w:style>
  <w:style w:type="character" w:customStyle="1" w:styleId="312">
    <w:name w:val="Char Char"/>
    <w:link w:val="1"/>
    <w:qFormat/>
    <w:uiPriority w:val="0"/>
    <w:rPr>
      <w:rFonts w:eastAsia="宋体"/>
      <w:sz w:val="18"/>
      <w:lang w:val="en-US" w:eastAsia="zh-CN"/>
    </w:rPr>
  </w:style>
  <w:style w:type="character" w:customStyle="1" w:styleId="313">
    <w:name w:val="wj1"/>
    <w:link w:val="1"/>
    <w:qFormat/>
    <w:uiPriority w:val="0"/>
    <w:rPr>
      <w:color w:val="000000"/>
      <w:sz w:val="18"/>
      <w:szCs w:val="18"/>
      <w:u w:val="none"/>
    </w:rPr>
  </w:style>
  <w:style w:type="character" w:customStyle="1" w:styleId="314">
    <w:name w:val="Heading 2 Char"/>
    <w:link w:val="1"/>
    <w:qFormat/>
    <w:uiPriority w:val="0"/>
    <w:rPr>
      <w:rFonts w:ascii="Arial" w:hAnsi="Arial" w:eastAsia="黑体"/>
      <w:b/>
      <w:bCs/>
      <w:sz w:val="32"/>
      <w:szCs w:val="32"/>
      <w:lang w:val="en-US" w:eastAsia="zh-CN" w:bidi="ar-SA"/>
    </w:rPr>
  </w:style>
  <w:style w:type="character" w:customStyle="1" w:styleId="315">
    <w:name w:val="z1"/>
    <w:link w:val="1"/>
    <w:qFormat/>
    <w:uiPriority w:val="0"/>
  </w:style>
  <w:style w:type="character" w:customStyle="1" w:styleId="316">
    <w:name w:val="font01"/>
    <w:basedOn w:val="191"/>
    <w:link w:val="1"/>
    <w:qFormat/>
    <w:uiPriority w:val="0"/>
    <w:rPr>
      <w:rFonts w:hint="eastAsia" w:ascii="宋体" w:hAnsi="宋体" w:eastAsia="宋体" w:cs="宋体"/>
      <w:color w:val="000000"/>
      <w:sz w:val="24"/>
      <w:szCs w:val="24"/>
      <w:u w:val="none"/>
    </w:rPr>
  </w:style>
  <w:style w:type="character" w:customStyle="1" w:styleId="317">
    <w:name w:val="Footer Char"/>
    <w:link w:val="1"/>
    <w:qFormat/>
    <w:uiPriority w:val="0"/>
    <w:rPr>
      <w:rFonts w:eastAsia="宋体"/>
      <w:sz w:val="18"/>
      <w:lang w:val="en-US" w:eastAsia="zh-CN"/>
    </w:rPr>
  </w:style>
  <w:style w:type="character" w:customStyle="1" w:styleId="318">
    <w:name w:val="Header Char"/>
    <w:link w:val="1"/>
    <w:qFormat/>
    <w:uiPriority w:val="0"/>
    <w:rPr>
      <w:rFonts w:eastAsia="宋体"/>
      <w:sz w:val="18"/>
      <w:lang w:val="en-US" w:eastAsia="zh-CN"/>
    </w:rPr>
  </w:style>
  <w:style w:type="character" w:customStyle="1" w:styleId="319">
    <w:name w:val="ca-01"/>
    <w:link w:val="1"/>
    <w:qFormat/>
    <w:uiPriority w:val="0"/>
    <w:rPr>
      <w:rFonts w:ascii="宋体" w:eastAsia="宋体"/>
      <w:b/>
      <w:bCs/>
      <w:spacing w:val="-20"/>
      <w:sz w:val="24"/>
      <w:szCs w:val="24"/>
    </w:rPr>
  </w:style>
  <w:style w:type="character" w:customStyle="1" w:styleId="320">
    <w:name w:val="font51"/>
    <w:basedOn w:val="191"/>
    <w:link w:val="1"/>
    <w:qFormat/>
    <w:uiPriority w:val="99"/>
    <w:rPr>
      <w:rFonts w:ascii="宋体" w:hAnsi="宋体" w:eastAsia="宋体" w:cs="宋体"/>
      <w:color w:val="000000"/>
      <w:sz w:val="22"/>
      <w:szCs w:val="22"/>
    </w:rPr>
  </w:style>
  <w:style w:type="character" w:customStyle="1" w:styleId="321">
    <w:name w:val="font21"/>
    <w:link w:val="1"/>
    <w:qFormat/>
    <w:uiPriority w:val="0"/>
    <w:rPr>
      <w:rFonts w:ascii="Times New Roman" w:hAnsi="Times New Roman"/>
      <w:color w:val="000000"/>
      <w:sz w:val="20"/>
      <w:u w:val="none"/>
    </w:rPr>
  </w:style>
  <w:style w:type="character" w:customStyle="1" w:styleId="322">
    <w:name w:val="font31"/>
    <w:basedOn w:val="33"/>
    <w:link w:val="1"/>
    <w:qFormat/>
    <w:uiPriority w:val="0"/>
    <w:rPr>
      <w:rFonts w:ascii="Arial" w:hAnsi="Arial" w:cs="Arial"/>
      <w:color w:val="000000"/>
      <w:sz w:val="22"/>
      <w:szCs w:val="22"/>
      <w:u w:val="none"/>
    </w:rPr>
  </w:style>
  <w:style w:type="character" w:customStyle="1" w:styleId="323">
    <w:name w:val="正文（编号） Char Char"/>
    <w:link w:val="324"/>
    <w:qFormat/>
    <w:uiPriority w:val="0"/>
    <w:rPr>
      <w:sz w:val="24"/>
      <w:szCs w:val="24"/>
    </w:rPr>
  </w:style>
  <w:style w:type="paragraph" w:customStyle="1" w:styleId="324">
    <w:name w:val="正文（编号）"/>
    <w:basedOn w:val="325"/>
    <w:link w:val="323"/>
    <w:qFormat/>
    <w:uiPriority w:val="0"/>
    <w:pPr>
      <w:tabs>
        <w:tab w:val="left" w:pos="720"/>
        <w:tab w:val="left" w:pos="780"/>
      </w:tabs>
      <w:ind w:left="720" w:firstLine="0"/>
    </w:pPr>
    <w:rPr>
      <w:szCs w:val="24"/>
    </w:rPr>
  </w:style>
  <w:style w:type="paragraph" w:customStyle="1" w:styleId="325">
    <w:name w:val="正文（缩进）"/>
    <w:basedOn w:val="1"/>
    <w:qFormat/>
    <w:uiPriority w:val="0"/>
    <w:pPr>
      <w:spacing w:before="50" w:after="50" w:line="360" w:lineRule="auto"/>
      <w:ind w:firstLine="200"/>
    </w:pPr>
    <w:rPr>
      <w:sz w:val="24"/>
    </w:rPr>
  </w:style>
  <w:style w:type="character" w:customStyle="1" w:styleId="326">
    <w:name w:val="marklong"/>
    <w:link w:val="1"/>
    <w:qFormat/>
    <w:uiPriority w:val="0"/>
  </w:style>
  <w:style w:type="character" w:customStyle="1" w:styleId="327">
    <w:name w:val="标题 2 Char Char Char"/>
    <w:link w:val="1"/>
    <w:qFormat/>
    <w:uiPriority w:val="0"/>
    <w:rPr>
      <w:rFonts w:ascii="Arial" w:hAnsi="Arial" w:eastAsia="宋体" w:cs="Arial"/>
      <w:b/>
      <w:bCs/>
      <w:i/>
      <w:iCs/>
      <w:sz w:val="28"/>
      <w:szCs w:val="28"/>
      <w:lang w:val="en-US" w:eastAsia="zh-CN" w:bidi="ar-SA"/>
    </w:rPr>
  </w:style>
  <w:style w:type="character" w:customStyle="1" w:styleId="328">
    <w:name w:val="ca-1"/>
    <w:link w:val="1"/>
    <w:qFormat/>
    <w:uiPriority w:val="0"/>
  </w:style>
  <w:style w:type="character" w:customStyle="1" w:styleId="329">
    <w:name w:val="ca-11"/>
    <w:link w:val="1"/>
    <w:qFormat/>
    <w:uiPriority w:val="0"/>
    <w:rPr>
      <w:rFonts w:ascii="宋体" w:eastAsia="宋体"/>
      <w:b/>
      <w:bCs/>
      <w:color w:val="000000"/>
      <w:spacing w:val="-20"/>
      <w:sz w:val="28"/>
      <w:szCs w:val="28"/>
    </w:rPr>
  </w:style>
  <w:style w:type="character" w:customStyle="1" w:styleId="330">
    <w:name w:val="正文（缩进） Char Char"/>
    <w:link w:val="1"/>
    <w:qFormat/>
    <w:uiPriority w:val="0"/>
    <w:rPr>
      <w:rFonts w:eastAsia="宋体"/>
      <w:sz w:val="24"/>
      <w:szCs w:val="24"/>
      <w:lang w:val="en-US" w:eastAsia="zh-CN" w:bidi="ar-SA"/>
    </w:rPr>
  </w:style>
  <w:style w:type="character" w:customStyle="1" w:styleId="331">
    <w:name w:val="Char Char3"/>
    <w:link w:val="1"/>
    <w:qFormat/>
    <w:uiPriority w:val="0"/>
    <w:rPr>
      <w:rFonts w:ascii="Arial" w:hAnsi="Arial" w:eastAsia="黑体" w:cs="Times New Roman"/>
      <w:b/>
      <w:bCs/>
      <w:sz w:val="32"/>
      <w:szCs w:val="32"/>
      <w:lang w:val="en-US" w:eastAsia="zh-CN" w:bidi="ar-SA"/>
    </w:rPr>
  </w:style>
  <w:style w:type="paragraph" w:customStyle="1" w:styleId="332">
    <w:name w:val="表文1"/>
    <w:basedOn w:val="1"/>
    <w:qFormat/>
    <w:uiPriority w:val="0"/>
    <w:pPr>
      <w:widowControl/>
      <w:spacing w:line="360" w:lineRule="auto"/>
      <w:ind w:firstLine="196"/>
    </w:pPr>
    <w:rPr>
      <w:rFonts w:ascii="宋体"/>
      <w:sz w:val="24"/>
    </w:rPr>
  </w:style>
  <w:style w:type="paragraph" w:customStyle="1" w:styleId="333">
    <w:name w:val="Normal_6_0"/>
    <w:qFormat/>
    <w:uiPriority w:val="0"/>
    <w:rPr>
      <w:rFonts w:hint="default" w:ascii="黑体" w:hAnsi="黑体" w:eastAsia="黑体" w:cs="Times New Roman"/>
      <w:b/>
      <w:sz w:val="32"/>
      <w:szCs w:val="24"/>
      <w:lang w:bidi="ar-SA"/>
    </w:rPr>
  </w:style>
  <w:style w:type="paragraph" w:customStyle="1" w:styleId="334">
    <w:name w:val="正文文本缩进1"/>
    <w:basedOn w:val="335"/>
    <w:next w:val="336"/>
    <w:qFormat/>
    <w:uiPriority w:val="99"/>
    <w:pPr>
      <w:spacing w:after="120"/>
      <w:ind w:left="420"/>
    </w:pPr>
    <w:rPr>
      <w:rFonts w:ascii="Calibri" w:hAnsi="Calibri" w:cs="Calibri"/>
    </w:rPr>
  </w:style>
  <w:style w:type="paragraph" w:customStyle="1" w:styleId="335">
    <w:name w:val="正文11"/>
    <w:qFormat/>
    <w:uiPriority w:val="99"/>
    <w:pPr>
      <w:widowControl w:val="0"/>
    </w:pPr>
    <w:rPr>
      <w:rFonts w:hint="default" w:ascii="Times New Roman" w:hAnsi="Times New Roman" w:eastAsia="宋体" w:cs="Times New Roman"/>
      <w:sz w:val="21"/>
      <w:szCs w:val="21"/>
      <w:lang w:val="en-US" w:eastAsia="zh-CN" w:bidi="ar-SA"/>
    </w:rPr>
  </w:style>
  <w:style w:type="paragraph" w:customStyle="1" w:styleId="336">
    <w:name w:val="寄信人地址1"/>
    <w:basedOn w:val="335"/>
    <w:qFormat/>
    <w:uiPriority w:val="99"/>
    <w:rPr>
      <w:rFonts w:ascii="Arial" w:hAnsi="Arial" w:cs="Arial"/>
    </w:rPr>
  </w:style>
  <w:style w:type="paragraph" w:customStyle="1" w:styleId="337">
    <w:name w:val=" Char Char Char"/>
    <w:basedOn w:val="1"/>
    <w:qFormat/>
    <w:uiPriority w:val="0"/>
    <w:rPr>
      <w:rFonts w:ascii="Calibri" w:hAnsi="Calibri"/>
      <w:szCs w:val="21"/>
    </w:rPr>
  </w:style>
  <w:style w:type="paragraph" w:customStyle="1" w:styleId="338">
    <w:name w:val="标题二、"/>
    <w:basedOn w:val="1"/>
    <w:qFormat/>
    <w:uiPriority w:val="99"/>
    <w:pPr>
      <w:spacing w:line="360" w:lineRule="auto"/>
      <w:ind w:firstLine="200"/>
      <w:outlineLvl w:val="2"/>
    </w:pPr>
    <w:rPr>
      <w:rFonts w:ascii="宋体" w:hAnsi="宋体"/>
      <w:b/>
      <w:szCs w:val="21"/>
    </w:rPr>
  </w:style>
  <w:style w:type="paragraph" w:customStyle="1" w:styleId="339">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4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41">
    <w:name w:val="Normal_9_0"/>
    <w:qFormat/>
    <w:uiPriority w:val="0"/>
    <w:rPr>
      <w:rFonts w:hint="default" w:ascii="Times New Roman" w:hAnsi="Times New Roman" w:eastAsia="Times New Roman" w:cs="Times New Roman"/>
      <w:sz w:val="24"/>
      <w:szCs w:val="24"/>
      <w:lang w:bidi="ar-SA"/>
    </w:rPr>
  </w:style>
  <w:style w:type="paragraph" w:customStyle="1" w:styleId="342">
    <w:name w:val="正文_1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43">
    <w:name w:val="pa-6"/>
    <w:basedOn w:val="1"/>
    <w:qFormat/>
    <w:uiPriority w:val="0"/>
    <w:pPr>
      <w:widowControl/>
      <w:spacing w:line="360" w:lineRule="atLeast"/>
    </w:pPr>
    <w:rPr>
      <w:rFonts w:ascii="宋体"/>
      <w:sz w:val="24"/>
      <w:szCs w:val="20"/>
    </w:rPr>
  </w:style>
  <w:style w:type="paragraph" w:customStyle="1" w:styleId="344">
    <w:name w:val="正文_2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45">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6">
    <w:name w:val="正文_1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47">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48">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49">
    <w:name w:val=" Char Char Char Char Char Char Char Char Char Char"/>
    <w:basedOn w:val="1"/>
    <w:qFormat/>
    <w:uiPriority w:val="0"/>
    <w:rPr>
      <w:rFonts w:ascii="Tahoma" w:hAnsi="Tahoma"/>
      <w:sz w:val="24"/>
      <w:szCs w:val="20"/>
    </w:rPr>
  </w:style>
  <w:style w:type="paragraph" w:customStyle="1" w:styleId="350">
    <w:name w:val="篇名"/>
    <w:next w:val="182"/>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351">
    <w:name w:val="正文_6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52">
    <w:name w:val="正文_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53">
    <w:name w:val="正文_9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54">
    <w:name w:val="WPSOffice手动目录 1"/>
    <w:qFormat/>
    <w:uiPriority w:val="0"/>
    <w:rPr>
      <w:rFonts w:hint="default" w:ascii="Times New Roman" w:hAnsi="Times New Roman" w:eastAsia="宋体" w:cs="Times New Roman"/>
      <w:lang w:val="en-US" w:eastAsia="zh-CN" w:bidi="ar-SA"/>
    </w:rPr>
  </w:style>
  <w:style w:type="paragraph" w:customStyle="1" w:styleId="355">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6">
    <w:name w:val="参考资料清单+倾斜+蓝色"/>
    <w:basedOn w:val="1"/>
    <w:qFormat/>
    <w:uiPriority w:val="0"/>
    <w:pPr>
      <w:spacing w:line="360" w:lineRule="auto"/>
    </w:pPr>
    <w:rPr>
      <w:rFonts w:ascii="Arial" w:hAnsi="Arial"/>
      <w:i/>
      <w:iCs/>
      <w:color w:val="0000FF"/>
      <w:szCs w:val="21"/>
    </w:rPr>
  </w:style>
  <w:style w:type="paragraph" w:customStyle="1" w:styleId="357">
    <w:name w:val="Normal_8"/>
    <w:qFormat/>
    <w:uiPriority w:val="0"/>
    <w:rPr>
      <w:rFonts w:hint="default" w:ascii="Times New Roman" w:hAnsi="Times New Roman" w:eastAsia="Times New Roman" w:cs="Times New Roman"/>
      <w:sz w:val="24"/>
      <w:szCs w:val="24"/>
      <w:lang w:bidi="ar-SA"/>
    </w:rPr>
  </w:style>
  <w:style w:type="paragraph" w:customStyle="1" w:styleId="358">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59">
    <w:name w:val="Normal_2"/>
    <w:qFormat/>
    <w:uiPriority w:val="0"/>
    <w:rPr>
      <w:rFonts w:hint="default" w:ascii="黑体" w:hAnsi="黑体" w:eastAsia="黑体" w:cs="Times New Roman"/>
      <w:b/>
      <w:sz w:val="32"/>
      <w:szCs w:val="24"/>
      <w:lang w:bidi="ar-SA"/>
    </w:rPr>
  </w:style>
  <w:style w:type="paragraph" w:customStyle="1" w:styleId="360">
    <w:name w:val="Normal_1_2"/>
    <w:qFormat/>
    <w:uiPriority w:val="0"/>
    <w:rPr>
      <w:rFonts w:hint="default" w:ascii="Times New Roman" w:hAnsi="Times New Roman" w:eastAsia="Times New Roman" w:cs="Times New Roman"/>
      <w:sz w:val="24"/>
      <w:szCs w:val="24"/>
      <w:lang w:bidi="ar-SA"/>
    </w:rPr>
  </w:style>
  <w:style w:type="paragraph" w:customStyle="1" w:styleId="361">
    <w:name w:val="默认段落字体 Para Char Char Char Char Char Char Char Char Char1"/>
    <w:basedOn w:val="1"/>
    <w:qFormat/>
    <w:uiPriority w:val="0"/>
    <w:rPr>
      <w:rFonts w:ascii="Tahoma" w:hAnsi="Tahoma"/>
      <w:sz w:val="24"/>
      <w:szCs w:val="20"/>
    </w:rPr>
  </w:style>
  <w:style w:type="paragraph" w:customStyle="1" w:styleId="362">
    <w:name w:val="样式 序号----------- + 仿宋_GB2312"/>
    <w:basedOn w:val="363"/>
    <w:qFormat/>
    <w:uiPriority w:val="0"/>
    <w:pPr>
      <w:spacing w:line="360" w:lineRule="auto"/>
      <w:ind w:firstLine="200"/>
    </w:pPr>
    <w:rPr>
      <w:rFonts w:ascii="仿宋_GB2312" w:eastAsia="仿宋_GB2312"/>
      <w:bCs w:val="0"/>
    </w:rPr>
  </w:style>
  <w:style w:type="paragraph" w:customStyle="1" w:styleId="363">
    <w:name w:val="序号-----------"/>
    <w:basedOn w:val="1"/>
    <w:qFormat/>
    <w:uiPriority w:val="0"/>
    <w:pPr>
      <w:widowControl/>
      <w:jc w:val="left"/>
    </w:pPr>
    <w:rPr>
      <w:rFonts w:ascii="宋体"/>
      <w:bCs/>
      <w:szCs w:val="21"/>
    </w:rPr>
  </w:style>
  <w:style w:type="paragraph" w:customStyle="1" w:styleId="364">
    <w:name w:val="pa-8"/>
    <w:basedOn w:val="1"/>
    <w:qFormat/>
    <w:uiPriority w:val="0"/>
    <w:pPr>
      <w:widowControl/>
      <w:spacing w:line="280" w:lineRule="atLeast"/>
      <w:ind w:firstLine="480"/>
    </w:pPr>
    <w:rPr>
      <w:rFonts w:ascii="宋体" w:cs="宋体"/>
      <w:sz w:val="24"/>
      <w:lang w:bidi="ar-SA"/>
    </w:rPr>
  </w:style>
  <w:style w:type="paragraph" w:customStyle="1" w:styleId="365">
    <w:name w:val="Indent Normal"/>
    <w:basedOn w:val="1"/>
    <w:qFormat/>
    <w:uiPriority w:val="0"/>
    <w:pPr>
      <w:ind w:firstLine="150"/>
    </w:pPr>
    <w:rPr>
      <w:sz w:val="24"/>
      <w:szCs w:val="20"/>
    </w:rPr>
  </w:style>
  <w:style w:type="paragraph" w:customStyle="1" w:styleId="366">
    <w:name w:val="Normal_3"/>
    <w:qFormat/>
    <w:uiPriority w:val="0"/>
    <w:rPr>
      <w:rFonts w:hint="default" w:ascii="黑体" w:hAnsi="黑体" w:eastAsia="黑体" w:cs="Times New Roman"/>
      <w:b/>
      <w:sz w:val="32"/>
      <w:szCs w:val="24"/>
      <w:lang w:bidi="ar-SA"/>
    </w:rPr>
  </w:style>
  <w:style w:type="paragraph" w:customStyle="1" w:styleId="367">
    <w:name w:val="标题2"/>
    <w:basedOn w:val="1"/>
    <w:qFormat/>
    <w:uiPriority w:val="0"/>
    <w:pPr>
      <w:tabs>
        <w:tab w:val="left" w:pos="0"/>
      </w:tabs>
    </w:pPr>
    <w:rPr>
      <w:rFonts w:ascii="黑体" w:eastAsia="黑体"/>
      <w:sz w:val="24"/>
      <w:szCs w:val="22"/>
    </w:rPr>
  </w:style>
  <w:style w:type="paragraph" w:customStyle="1" w:styleId="368">
    <w:name w:val="Normal_10"/>
    <w:qFormat/>
    <w:uiPriority w:val="0"/>
    <w:rPr>
      <w:rFonts w:hint="default" w:ascii="黑体" w:hAnsi="黑体" w:eastAsia="黑体" w:cs="Times New Roman"/>
      <w:b/>
      <w:sz w:val="32"/>
      <w:szCs w:val="24"/>
      <w:lang w:bidi="ar-SA"/>
    </w:rPr>
  </w:style>
  <w:style w:type="paragraph" w:customStyle="1" w:styleId="369">
    <w:name w:val="样式3"/>
    <w:basedOn w:val="184"/>
    <w:qFormat/>
    <w:uiPriority w:val="0"/>
    <w:pPr>
      <w:spacing w:line="415" w:lineRule="auto"/>
    </w:pPr>
    <w:rPr>
      <w:rFonts w:ascii="Calibri" w:hAnsi="Calibri"/>
      <w:bCs/>
      <w:color w:val="000000"/>
      <w:sz w:val="28"/>
      <w:szCs w:val="28"/>
    </w:rPr>
  </w:style>
  <w:style w:type="paragraph" w:customStyle="1" w:styleId="370">
    <w:name w:val="样式6"/>
    <w:basedOn w:val="37"/>
    <w:qFormat/>
    <w:uiPriority w:val="0"/>
    <w:pPr>
      <w:keepNext/>
      <w:keepLines/>
      <w:widowControl w:val="0"/>
      <w:spacing w:before="260" w:after="260" w:line="415" w:lineRule="auto"/>
      <w:outlineLvl w:val="1"/>
    </w:pPr>
    <w:rPr>
      <w:rFonts w:ascii="Times New Roman" w:hAnsi="Times New Roman" w:eastAsia="宋体" w:cs="Times New Roman"/>
      <w:b/>
      <w:bCs/>
      <w:sz w:val="32"/>
      <w:szCs w:val="32"/>
      <w:lang w:bidi="ar-SA"/>
    </w:rPr>
  </w:style>
  <w:style w:type="paragraph" w:customStyle="1" w:styleId="371">
    <w:name w:val="Char1 Char Char Char"/>
    <w:basedOn w:val="1"/>
    <w:qFormat/>
    <w:uiPriority w:val="0"/>
    <w:rPr>
      <w:szCs w:val="20"/>
    </w:rPr>
  </w:style>
  <w:style w:type="paragraph" w:customStyle="1" w:styleId="372">
    <w:name w:val="纯文本2"/>
    <w:basedOn w:val="1"/>
    <w:qFormat/>
    <w:uiPriority w:val="0"/>
    <w:rPr>
      <w:rFonts w:ascii="宋体" w:hAnsi="Courier New" w:eastAsia="楷体_GB2312"/>
      <w:sz w:val="26"/>
      <w:szCs w:val="20"/>
    </w:rPr>
  </w:style>
  <w:style w:type="paragraph" w:customStyle="1" w:styleId="373">
    <w:name w:val="Normal_4_0"/>
    <w:qFormat/>
    <w:uiPriority w:val="0"/>
    <w:rPr>
      <w:rFonts w:hint="default" w:ascii="黑体" w:hAnsi="黑体" w:eastAsia="黑体" w:cs="Times New Roman"/>
      <w:b/>
      <w:sz w:val="32"/>
      <w:szCs w:val="24"/>
      <w:lang w:bidi="ar-SA"/>
    </w:rPr>
  </w:style>
  <w:style w:type="paragraph" w:customStyle="1" w:styleId="374">
    <w:name w:val="三级条标题"/>
    <w:basedOn w:val="375"/>
    <w:next w:val="377"/>
    <w:qFormat/>
    <w:uiPriority w:val="0"/>
    <w:pPr>
      <w:ind w:left="1050"/>
      <w:outlineLvl w:val="4"/>
    </w:pPr>
  </w:style>
  <w:style w:type="paragraph" w:customStyle="1" w:styleId="375">
    <w:name w:val="二级条标题"/>
    <w:basedOn w:val="376"/>
    <w:next w:val="377"/>
    <w:qFormat/>
    <w:uiPriority w:val="0"/>
    <w:pPr>
      <w:ind w:left="360"/>
      <w:outlineLvl w:val="3"/>
    </w:pPr>
  </w:style>
  <w:style w:type="paragraph" w:customStyle="1" w:styleId="376">
    <w:name w:val="一级条标题"/>
    <w:next w:val="377"/>
    <w:qFormat/>
    <w:uiPriority w:val="0"/>
    <w:pPr>
      <w:outlineLvl w:val="2"/>
    </w:pPr>
    <w:rPr>
      <w:rFonts w:hint="default" w:ascii="Times New Roman" w:hAnsi="Times New Roman" w:eastAsia="黑体" w:cs="Times New Roman"/>
      <w:sz w:val="21"/>
      <w:lang w:val="en-US" w:eastAsia="zh-CN" w:bidi="ar-SA"/>
    </w:rPr>
  </w:style>
  <w:style w:type="paragraph" w:customStyle="1" w:styleId="377">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78">
    <w:name w:val="Normal_5_0"/>
    <w:qFormat/>
    <w:uiPriority w:val="0"/>
    <w:rPr>
      <w:rFonts w:hint="default" w:ascii="黑体" w:hAnsi="黑体" w:eastAsia="黑体" w:cs="Times New Roman"/>
      <w:b/>
      <w:sz w:val="32"/>
      <w:szCs w:val="24"/>
      <w:lang w:bidi="ar-SA"/>
    </w:rPr>
  </w:style>
  <w:style w:type="paragraph" w:customStyle="1" w:styleId="379">
    <w:name w:val="Normal_14_0"/>
    <w:qFormat/>
    <w:uiPriority w:val="0"/>
    <w:rPr>
      <w:rFonts w:hint="default" w:ascii="黑体" w:hAnsi="黑体" w:eastAsia="黑体" w:cs="Times New Roman"/>
      <w:b/>
      <w:sz w:val="32"/>
      <w:szCs w:val="24"/>
      <w:lang w:bidi="ar-SA"/>
    </w:rPr>
  </w:style>
  <w:style w:type="paragraph" w:customStyle="1" w:styleId="380">
    <w:name w:val="技术方案2"/>
    <w:basedOn w:val="1"/>
    <w:qFormat/>
    <w:uiPriority w:val="0"/>
    <w:pPr>
      <w:spacing w:line="480" w:lineRule="auto"/>
    </w:pPr>
    <w:rPr>
      <w:rFonts w:ascii="宋体"/>
      <w:b/>
      <w:bCs/>
      <w:sz w:val="36"/>
      <w:szCs w:val="22"/>
    </w:rPr>
  </w:style>
  <w:style w:type="paragraph" w:customStyle="1" w:styleId="381">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paragraph" w:customStyle="1" w:styleId="382">
    <w:name w:val="Normal_0_0"/>
    <w:qFormat/>
    <w:uiPriority w:val="0"/>
    <w:rPr>
      <w:rFonts w:hint="default" w:ascii="黑体" w:hAnsi="黑体" w:eastAsia="黑体" w:cs="Times New Roman"/>
      <w:b/>
      <w:sz w:val="40"/>
      <w:szCs w:val="24"/>
      <w:lang w:bidi="ar-SA"/>
    </w:rPr>
  </w:style>
  <w:style w:type="paragraph" w:customStyle="1" w:styleId="383">
    <w:name w:val="表格标题"/>
    <w:basedOn w:val="1"/>
    <w:qFormat/>
    <w:uiPriority w:val="0"/>
    <w:pPr>
      <w:jc w:val="center"/>
    </w:pPr>
    <w:rPr>
      <w:b/>
    </w:rPr>
  </w:style>
  <w:style w:type="paragraph" w:customStyle="1" w:styleId="384">
    <w:name w:val="表中文字"/>
    <w:basedOn w:val="1"/>
    <w:qFormat/>
    <w:uiPriority w:val="0"/>
    <w:pPr>
      <w:widowControl/>
    </w:pPr>
    <w:rPr>
      <w:rFonts w:ascii="Calibri" w:hAnsi="Calibri"/>
      <w:szCs w:val="20"/>
    </w:rPr>
  </w:style>
  <w:style w:type="paragraph" w:customStyle="1" w:styleId="385">
    <w:name w:val=" Char"/>
    <w:basedOn w:val="1"/>
    <w:qFormat/>
    <w:uiPriority w:val="0"/>
    <w:pPr>
      <w:widowControl/>
      <w:spacing w:after="160" w:line="240" w:lineRule="exact"/>
      <w:jc w:val="left"/>
    </w:pPr>
    <w:rPr>
      <w:rFonts w:ascii="Verdana" w:hAnsi="Verdana"/>
      <w:sz w:val="20"/>
      <w:szCs w:val="20"/>
      <w:lang w:eastAsia="en-US"/>
    </w:rPr>
  </w:style>
  <w:style w:type="paragraph" w:customStyle="1" w:styleId="386">
    <w:name w:val="pbody"/>
    <w:basedOn w:val="1"/>
    <w:qFormat/>
    <w:uiPriority w:val="0"/>
    <w:pPr>
      <w:widowControl/>
      <w:spacing w:before="100" w:beforeAutospacing="1" w:after="100" w:afterAutospacing="1" w:line="360" w:lineRule="auto"/>
      <w:jc w:val="left"/>
    </w:pPr>
    <w:rPr>
      <w:rFonts w:ascii="宋体" w:cs="宋体"/>
      <w:sz w:val="24"/>
      <w:lang w:bidi="ar-SA"/>
    </w:rPr>
  </w:style>
  <w:style w:type="paragraph" w:customStyle="1" w:styleId="387">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8">
    <w:name w:val="Normal_9"/>
    <w:qFormat/>
    <w:uiPriority w:val="0"/>
    <w:rPr>
      <w:rFonts w:hint="default" w:ascii="黑体" w:hAnsi="黑体" w:eastAsia="黑体" w:cs="Times New Roman"/>
      <w:b/>
      <w:sz w:val="32"/>
      <w:szCs w:val="24"/>
      <w:lang w:bidi="ar-SA"/>
    </w:rPr>
  </w:style>
  <w:style w:type="paragraph" w:customStyle="1" w:styleId="389">
    <w:name w:val="表格正文"/>
    <w:basedOn w:val="1"/>
    <w:qFormat/>
    <w:uiPriority w:val="0"/>
    <w:pPr>
      <w:tabs>
        <w:tab w:val="left" w:pos="420"/>
      </w:tabs>
      <w:spacing w:line="300" w:lineRule="auto"/>
    </w:pPr>
  </w:style>
  <w:style w:type="paragraph" w:customStyle="1" w:styleId="390">
    <w:name w:val="目录 1_0"/>
    <w:basedOn w:val="276"/>
    <w:next w:val="276"/>
    <w:semiHidden/>
    <w:qFormat/>
    <w:uiPriority w:val="0"/>
    <w:pPr>
      <w:jc w:val="left"/>
    </w:pPr>
    <w:rPr>
      <w:rFonts w:hint="eastAsia" w:ascii="宋体" w:hAnsi="宋体"/>
      <w:b/>
      <w:sz w:val="24"/>
    </w:rPr>
  </w:style>
  <w:style w:type="paragraph" w:customStyle="1" w:styleId="391">
    <w:name w:val="正文_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2">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3">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4">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95">
    <w:name w:val="标书2"/>
    <w:next w:val="396"/>
    <w:qFormat/>
    <w:uiPriority w:val="0"/>
    <w:rPr>
      <w:rFonts w:hint="default" w:ascii="Times New Roman" w:hAnsi="Times New Roman" w:eastAsia="黑体" w:cs="宋体"/>
      <w:b/>
      <w:sz w:val="44"/>
      <w:lang w:val="en-US" w:eastAsia="zh-CN" w:bidi="ar-SA"/>
    </w:rPr>
  </w:style>
  <w:style w:type="paragraph" w:customStyle="1" w:styleId="396">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paragraph" w:customStyle="1" w:styleId="397">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8">
    <w:name w:val="p0"/>
    <w:basedOn w:val="1"/>
    <w:qFormat/>
    <w:uiPriority w:val="0"/>
    <w:pPr>
      <w:widowControl/>
    </w:pPr>
    <w:rPr>
      <w:szCs w:val="21"/>
    </w:rPr>
  </w:style>
  <w:style w:type="paragraph" w:customStyle="1" w:styleId="399">
    <w:name w:val="ibm-list-next"/>
    <w:basedOn w:val="1"/>
    <w:qFormat/>
    <w:uiPriority w:val="0"/>
    <w:pPr>
      <w:widowControl/>
      <w:spacing w:before="100" w:beforeAutospacing="1" w:after="100" w:afterAutospacing="1"/>
      <w:jc w:val="left"/>
    </w:pPr>
    <w:rPr>
      <w:rFonts w:ascii="宋体" w:cs="宋体"/>
      <w:sz w:val="24"/>
      <w:lang w:bidi="ar-SA"/>
    </w:rPr>
  </w:style>
  <w:style w:type="paragraph" w:customStyle="1" w:styleId="400">
    <w:name w:val="WPSOffice手动目录 2"/>
    <w:qFormat/>
    <w:uiPriority w:val="0"/>
    <w:rPr>
      <w:rFonts w:hint="default" w:ascii="Times New Roman" w:hAnsi="Times New Roman" w:eastAsia="宋体" w:cs="Times New Roman"/>
      <w:lang w:val="en-US" w:eastAsia="zh-CN" w:bidi="ar-SA"/>
    </w:rPr>
  </w:style>
  <w:style w:type="paragraph" w:customStyle="1" w:styleId="401">
    <w:name w:val="正文文字缩进 3"/>
    <w:basedOn w:val="1"/>
    <w:qFormat/>
    <w:uiPriority w:val="0"/>
    <w:pPr>
      <w:spacing w:line="312" w:lineRule="auto"/>
      <w:ind w:left="420" w:firstLine="420"/>
    </w:pPr>
    <w:rPr>
      <w:rFonts w:ascii="黑体" w:hAnsi="黑体" w:cs="宋体"/>
      <w:bCs/>
      <w:color w:val="000000"/>
      <w:sz w:val="24"/>
      <w:szCs w:val="22"/>
      <w:lang w:bidi="ar-SA"/>
    </w:rPr>
  </w:style>
  <w:style w:type="paragraph" w:customStyle="1" w:styleId="402">
    <w:name w:val="pa-9"/>
    <w:basedOn w:val="1"/>
    <w:qFormat/>
    <w:uiPriority w:val="0"/>
    <w:pPr>
      <w:widowControl/>
      <w:spacing w:line="360" w:lineRule="atLeast"/>
      <w:jc w:val="center"/>
    </w:pPr>
    <w:rPr>
      <w:rFonts w:ascii="宋体" w:cs="宋体"/>
      <w:sz w:val="24"/>
      <w:lang w:bidi="ar-SA"/>
    </w:rPr>
  </w:style>
  <w:style w:type="paragraph" w:customStyle="1" w:styleId="403">
    <w:name w:val="表格文字"/>
    <w:basedOn w:val="1"/>
    <w:qFormat/>
    <w:uiPriority w:val="0"/>
    <w:pPr>
      <w:jc w:val="left"/>
    </w:pPr>
    <w:rPr>
      <w:sz w:val="18"/>
    </w:rPr>
  </w:style>
  <w:style w:type="paragraph" w:customStyle="1" w:styleId="404">
    <w:name w:val="Figure and Table Title"/>
    <w:basedOn w:val="1"/>
    <w:qFormat/>
    <w:uiPriority w:val="0"/>
    <w:pPr>
      <w:widowControl/>
      <w:ind w:left="2160"/>
      <w:jc w:val="left"/>
    </w:pPr>
    <w:rPr>
      <w:rFonts w:ascii="Helvetica-Light" w:hAnsi="Helvetica-Light"/>
      <w:b/>
      <w:bCs/>
      <w:sz w:val="20"/>
      <w:szCs w:val="22"/>
      <w:lang w:eastAsia="en-US"/>
    </w:rPr>
  </w:style>
  <w:style w:type="paragraph" w:customStyle="1" w:styleId="405">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6">
    <w:name w:val="正文_1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07">
    <w:name w:val="首页小标题"/>
    <w:next w:val="408"/>
    <w:qFormat/>
    <w:uiPriority w:val="0"/>
    <w:pPr>
      <w:jc w:val="center"/>
    </w:pPr>
    <w:rPr>
      <w:rFonts w:hint="default" w:ascii="Times New Roman" w:hAnsi="Times New Roman" w:eastAsia="宋体" w:cs="宋体"/>
      <w:sz w:val="44"/>
      <w:lang w:val="en-US" w:eastAsia="zh-CN" w:bidi="ar-SA"/>
    </w:rPr>
  </w:style>
  <w:style w:type="paragraph" w:customStyle="1" w:styleId="408">
    <w:name w:val="首页空格"/>
    <w:qFormat/>
    <w:uiPriority w:val="0"/>
    <w:pPr>
      <w:jc w:val="center"/>
    </w:pPr>
    <w:rPr>
      <w:rFonts w:hint="default" w:ascii="Times New Roman" w:hAnsi="Times New Roman" w:eastAsia="宋体" w:cs="宋体"/>
      <w:sz w:val="72"/>
      <w:lang w:val="en-US" w:eastAsia="zh-CN" w:bidi="ar-SA"/>
    </w:rPr>
  </w:style>
  <w:style w:type="paragraph" w:customStyle="1" w:styleId="409">
    <w:name w:val="纯文本1"/>
    <w:basedOn w:val="1"/>
    <w:qFormat/>
    <w:uiPriority w:val="0"/>
    <w:rPr>
      <w:rFonts w:ascii="宋体" w:hAnsi="Courier New" w:eastAsia="楷体_GB2312"/>
      <w:sz w:val="26"/>
      <w:szCs w:val="20"/>
    </w:rPr>
  </w:style>
  <w:style w:type="paragraph" w:customStyle="1" w:styleId="410">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11">
    <w:name w:val="表头"/>
    <w:basedOn w:val="412"/>
    <w:qFormat/>
    <w:uiPriority w:val="0"/>
    <w:pPr>
      <w:spacing w:line="240" w:lineRule="auto"/>
      <w:ind w:left="0" w:firstLine="0"/>
    </w:pPr>
    <w:rPr>
      <w:sz w:val="20"/>
    </w:rPr>
  </w:style>
  <w:style w:type="paragraph" w:customStyle="1" w:styleId="412">
    <w:name w:val="正文1"/>
    <w:basedOn w:val="1"/>
    <w:qFormat/>
    <w:uiPriority w:val="0"/>
    <w:pPr>
      <w:widowControl/>
      <w:spacing w:line="360" w:lineRule="auto"/>
      <w:ind w:left="357" w:firstLine="420"/>
      <w:jc w:val="left"/>
    </w:pPr>
    <w:rPr>
      <w:rFonts w:cs="Arial"/>
      <w:szCs w:val="20"/>
      <w:lang w:bidi="ar-SA"/>
    </w:rPr>
  </w:style>
  <w:style w:type="paragraph" w:customStyle="1" w:styleId="413">
    <w:name w:val="正文_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4">
    <w:name w:val="表格序号"/>
    <w:qFormat/>
    <w:uiPriority w:val="0"/>
    <w:rPr>
      <w:rFonts w:hint="default" w:ascii="Times New Roman" w:hAnsi="Times New Roman" w:eastAsia="仿宋_GB2312" w:cs="宋体"/>
      <w:sz w:val="21"/>
      <w:lang w:val="en-US" w:eastAsia="zh-CN" w:bidi="ar-SA"/>
    </w:rPr>
  </w:style>
  <w:style w:type="paragraph" w:customStyle="1" w:styleId="415">
    <w:name w:val="正文_1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16">
    <w:name w:val="Normal_15"/>
    <w:qFormat/>
    <w:uiPriority w:val="0"/>
    <w:rPr>
      <w:rFonts w:hint="default" w:ascii="黑体" w:hAnsi="黑体" w:eastAsia="黑体" w:cs="Times New Roman"/>
      <w:b/>
      <w:sz w:val="32"/>
      <w:szCs w:val="24"/>
      <w:lang w:bidi="ar-SA"/>
    </w:rPr>
  </w:style>
  <w:style w:type="paragraph" w:styleId="417">
    <w:name w:val="List Paragraph"/>
    <w:basedOn w:val="1"/>
    <w:qFormat/>
    <w:uiPriority w:val="0"/>
    <w:pPr>
      <w:ind w:firstLine="200"/>
    </w:pPr>
    <w:rPr>
      <w:rFonts w:ascii="Calibri" w:hAnsi="Calibri"/>
      <w:szCs w:val="22"/>
    </w:rPr>
  </w:style>
  <w:style w:type="paragraph" w:customStyle="1" w:styleId="418">
    <w:name w:val="正文_1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9">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20">
    <w:name w:val="Normal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1">
    <w:name w:val="技术方案3"/>
    <w:basedOn w:val="1"/>
    <w:qFormat/>
    <w:uiPriority w:val="0"/>
    <w:pPr>
      <w:spacing w:line="360" w:lineRule="auto"/>
    </w:pPr>
    <w:rPr>
      <w:rFonts w:ascii="宋体"/>
      <w:b/>
      <w:bCs/>
      <w:sz w:val="32"/>
      <w:szCs w:val="22"/>
    </w:rPr>
  </w:style>
  <w:style w:type="paragraph" w:customStyle="1" w:styleId="422">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szCs w:val="22"/>
      <w:lang w:eastAsia="en-US"/>
    </w:rPr>
  </w:style>
  <w:style w:type="paragraph" w:customStyle="1" w:styleId="423">
    <w:name w:val="正文_17"/>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4">
    <w:name w:val="pa-10"/>
    <w:basedOn w:val="1"/>
    <w:qFormat/>
    <w:uiPriority w:val="0"/>
    <w:pPr>
      <w:widowControl/>
      <w:spacing w:line="240" w:lineRule="atLeast"/>
    </w:pPr>
    <w:rPr>
      <w:rFonts w:ascii="宋体" w:cs="宋体"/>
      <w:sz w:val="24"/>
      <w:lang w:bidi="ar-SA"/>
    </w:rPr>
  </w:style>
  <w:style w:type="paragraph" w:customStyle="1" w:styleId="425">
    <w:name w:val="pa-5"/>
    <w:basedOn w:val="1"/>
    <w:qFormat/>
    <w:uiPriority w:val="0"/>
    <w:pPr>
      <w:widowControl/>
      <w:spacing w:line="280" w:lineRule="atLeast"/>
    </w:pPr>
    <w:rPr>
      <w:rFonts w:ascii="宋体" w:cs="宋体"/>
      <w:sz w:val="24"/>
      <w:lang w:bidi="ar-SA"/>
    </w:rPr>
  </w:style>
  <w:style w:type="paragraph" w:customStyle="1" w:styleId="426">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27">
    <w:name w:val="新段落缩进"/>
    <w:basedOn w:val="1"/>
    <w:qFormat/>
    <w:uiPriority w:val="0"/>
    <w:pPr>
      <w:spacing w:line="400" w:lineRule="exact"/>
      <w:ind w:firstLine="200"/>
    </w:pPr>
    <w:rPr>
      <w:rFonts w:ascii="仿宋_GB2312" w:eastAsia="仿宋_GB2312"/>
      <w:sz w:val="24"/>
    </w:rPr>
  </w:style>
  <w:style w:type="paragraph" w:customStyle="1" w:styleId="428">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9">
    <w:name w:val="pa-2"/>
    <w:basedOn w:val="1"/>
    <w:qFormat/>
    <w:uiPriority w:val="0"/>
    <w:pPr>
      <w:widowControl/>
      <w:spacing w:line="360" w:lineRule="atLeast"/>
    </w:pPr>
    <w:rPr>
      <w:rFonts w:ascii="宋体" w:cs="宋体"/>
      <w:sz w:val="24"/>
      <w:lang w:bidi="ar-SA"/>
    </w:rPr>
  </w:style>
  <w:style w:type="paragraph" w:customStyle="1" w:styleId="430">
    <w:name w:val="列出段落1"/>
    <w:basedOn w:val="1"/>
    <w:qFormat/>
    <w:uiPriority w:val="99"/>
    <w:pPr>
      <w:ind w:firstLine="200"/>
    </w:pPr>
    <w:rPr>
      <w:rFonts w:ascii="Calibri" w:hAnsi="Calibri"/>
      <w:szCs w:val="22"/>
    </w:rPr>
  </w:style>
  <w:style w:type="paragraph" w:customStyle="1" w:styleId="431">
    <w:name w:val="说明书2级标题"/>
    <w:basedOn w:val="1"/>
    <w:next w:val="432"/>
    <w:qFormat/>
    <w:uiPriority w:val="0"/>
    <w:pPr>
      <w:numPr>
        <w:ilvl w:val="2"/>
        <w:numId w:val="1"/>
      </w:numPr>
      <w:spacing w:before="100"/>
    </w:pPr>
    <w:rPr>
      <w:rFonts w:ascii="Calibri" w:hAnsi="Calibri" w:eastAsia="黑体"/>
      <w:sz w:val="28"/>
      <w:szCs w:val="28"/>
    </w:rPr>
  </w:style>
  <w:style w:type="paragraph" w:customStyle="1" w:styleId="432">
    <w:name w:val="说明书3级标题"/>
    <w:basedOn w:val="1"/>
    <w:next w:val="1"/>
    <w:qFormat/>
    <w:uiPriority w:val="0"/>
    <w:pPr>
      <w:numPr>
        <w:ilvl w:val="2"/>
        <w:numId w:val="2"/>
      </w:numPr>
      <w:spacing w:line="360" w:lineRule="auto"/>
    </w:pPr>
    <w:rPr>
      <w:rFonts w:ascii="Calibri" w:hAnsi="Calibri" w:eastAsia="黑体"/>
      <w:sz w:val="24"/>
      <w:szCs w:val="22"/>
    </w:rPr>
  </w:style>
  <w:style w:type="paragraph" w:customStyle="1" w:styleId="433">
    <w:name w:val="Char Char1 Char Char Char Char Char Char Char Char"/>
    <w:basedOn w:val="1"/>
    <w:qFormat/>
    <w:uiPriority w:val="0"/>
    <w:pPr>
      <w:widowControl/>
      <w:spacing w:after="160" w:line="240" w:lineRule="exact"/>
      <w:jc w:val="left"/>
    </w:pPr>
  </w:style>
  <w:style w:type="paragraph" w:customStyle="1" w:styleId="434">
    <w:name w:val="Normal_11_0"/>
    <w:qFormat/>
    <w:uiPriority w:val="0"/>
    <w:rPr>
      <w:rFonts w:hint="default" w:ascii="黑体" w:hAnsi="黑体" w:eastAsia="黑体" w:cs="Times New Roman"/>
      <w:b/>
      <w:sz w:val="32"/>
      <w:szCs w:val="24"/>
      <w:lang w:bidi="ar-SA"/>
    </w:rPr>
  </w:style>
  <w:style w:type="paragraph" w:customStyle="1" w:styleId="435">
    <w:name w:val="首页标题小初"/>
    <w:qFormat/>
    <w:uiPriority w:val="0"/>
    <w:pPr>
      <w:jc w:val="center"/>
    </w:pPr>
    <w:rPr>
      <w:rFonts w:hint="default" w:ascii="黑体" w:hAnsi="Times New Roman" w:eastAsia="黑体" w:cs="宋体"/>
      <w:sz w:val="72"/>
      <w:lang w:val="en-US" w:eastAsia="zh-CN" w:bidi="ar-SA"/>
    </w:rPr>
  </w:style>
  <w:style w:type="paragraph" w:customStyle="1" w:styleId="43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7">
    <w:name w:val="正文_6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38">
    <w:name w:val="Default"/>
    <w:next w:val="439"/>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39">
    <w:name w:val="xl53"/>
    <w:basedOn w:val="1"/>
    <w:next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line="100" w:lineRule="exact"/>
      <w:jc w:val="center"/>
    </w:pPr>
    <w:rPr>
      <w:rFonts w:ascii="宋体" w:hAnsi="宋体"/>
      <w:b/>
      <w:bCs/>
      <w:sz w:val="20"/>
      <w:szCs w:val="20"/>
    </w:rPr>
  </w:style>
  <w:style w:type="paragraph" w:customStyle="1" w:styleId="440">
    <w:name w:val="附图标题"/>
    <w:basedOn w:val="201"/>
    <w:next w:val="200"/>
    <w:qFormat/>
    <w:uiPriority w:val="0"/>
    <w:pPr>
      <w:tabs>
        <w:tab w:val="left" w:pos="780"/>
      </w:tabs>
      <w:spacing w:after="100"/>
      <w:ind w:left="780" w:hanging="480"/>
      <w:jc w:val="center"/>
    </w:pPr>
    <w:rPr>
      <w:b/>
      <w:sz w:val="21"/>
    </w:rPr>
  </w:style>
  <w:style w:type="paragraph" w:customStyle="1" w:styleId="441">
    <w:name w:val="Normal_7"/>
    <w:qFormat/>
    <w:uiPriority w:val="0"/>
    <w:rPr>
      <w:rFonts w:hint="default" w:ascii="黑体" w:hAnsi="黑体" w:eastAsia="黑体" w:cs="Times New Roman"/>
      <w:b/>
      <w:sz w:val="32"/>
      <w:szCs w:val="24"/>
      <w:lang w:bidi="ar-SA"/>
    </w:rPr>
  </w:style>
  <w:style w:type="paragraph" w:customStyle="1" w:styleId="442">
    <w:name w:val="正文_1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3">
    <w:name w:val="五级条标题"/>
    <w:basedOn w:val="444"/>
    <w:next w:val="377"/>
    <w:qFormat/>
    <w:uiPriority w:val="0"/>
    <w:pPr>
      <w:outlineLvl w:val="6"/>
    </w:pPr>
  </w:style>
  <w:style w:type="paragraph" w:customStyle="1" w:styleId="444">
    <w:name w:val="四级条标题"/>
    <w:basedOn w:val="374"/>
    <w:next w:val="377"/>
    <w:qFormat/>
    <w:uiPriority w:val="0"/>
    <w:pPr>
      <w:ind w:left="0"/>
      <w:outlineLvl w:val="5"/>
    </w:pPr>
  </w:style>
  <w:style w:type="paragraph" w:customStyle="1" w:styleId="445">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6">
    <w:name w:val="正文_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7">
    <w:name w:val="标准小四"/>
    <w:basedOn w:val="1"/>
    <w:qFormat/>
    <w:uiPriority w:val="0"/>
    <w:pPr>
      <w:spacing w:line="360" w:lineRule="auto"/>
      <w:ind w:firstLine="200"/>
    </w:pPr>
    <w:rPr>
      <w:rFonts w:ascii="Arial" w:hAnsi="Arial"/>
      <w:sz w:val="24"/>
      <w:szCs w:val="21"/>
    </w:rPr>
  </w:style>
  <w:style w:type="paragraph" w:customStyle="1" w:styleId="448">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49">
    <w:name w:val="Normal_18_0"/>
    <w:qFormat/>
    <w:uiPriority w:val="0"/>
    <w:rPr>
      <w:rFonts w:hint="default" w:ascii="黑体" w:hAnsi="黑体" w:eastAsia="黑体" w:cs="Times New Roman"/>
      <w:b/>
      <w:sz w:val="32"/>
      <w:szCs w:val="24"/>
      <w:lang w:bidi="ar-SA"/>
    </w:rPr>
  </w:style>
  <w:style w:type="paragraph" w:customStyle="1" w:styleId="450">
    <w:name w:val="a0"/>
    <w:basedOn w:val="1"/>
    <w:qFormat/>
    <w:uiPriority w:val="0"/>
    <w:pPr>
      <w:widowControl/>
      <w:spacing w:before="100" w:beforeAutospacing="1" w:after="100" w:afterAutospacing="1"/>
      <w:jc w:val="left"/>
    </w:pPr>
    <w:rPr>
      <w:rFonts w:ascii="宋体"/>
      <w:sz w:val="24"/>
      <w:szCs w:val="22"/>
    </w:rPr>
  </w:style>
  <w:style w:type="paragraph" w:customStyle="1" w:styleId="451">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52">
    <w:name w:val="正文_14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3">
    <w:name w:val="加点正文缩进"/>
    <w:basedOn w:val="1"/>
    <w:qFormat/>
    <w:uiPriority w:val="0"/>
    <w:pPr>
      <w:tabs>
        <w:tab w:val="left" w:pos="840"/>
      </w:tabs>
      <w:spacing w:line="300" w:lineRule="auto"/>
      <w:ind w:left="962" w:hanging="480"/>
    </w:pPr>
    <w:rPr>
      <w:sz w:val="24"/>
    </w:rPr>
  </w:style>
  <w:style w:type="paragraph" w:customStyle="1" w:styleId="454">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5">
    <w:name w:val="Normal_1_1"/>
    <w:qFormat/>
    <w:uiPriority w:val="0"/>
    <w:rPr>
      <w:rFonts w:hint="default" w:ascii="黑体" w:hAnsi="黑体" w:eastAsia="黑体" w:cs="Times New Roman"/>
      <w:b/>
      <w:sz w:val="32"/>
      <w:szCs w:val="24"/>
      <w:lang w:bidi="ar-SA"/>
    </w:rPr>
  </w:style>
  <w:style w:type="paragraph" w:customStyle="1" w:styleId="456">
    <w:name w:val="技术方案正文样式"/>
    <w:basedOn w:val="1"/>
    <w:qFormat/>
    <w:uiPriority w:val="0"/>
    <w:pPr>
      <w:spacing w:line="400" w:lineRule="exact"/>
      <w:ind w:firstLine="200"/>
    </w:pPr>
    <w:rPr>
      <w:rFonts w:ascii="宋体" w:cs="宋体"/>
      <w:sz w:val="24"/>
      <w:szCs w:val="21"/>
      <w:lang w:bidi="ar-SA"/>
    </w:rPr>
  </w:style>
  <w:style w:type="paragraph" w:customStyle="1" w:styleId="457">
    <w:name w:val="首页标题 一号"/>
    <w:basedOn w:val="435"/>
    <w:qFormat/>
    <w:uiPriority w:val="0"/>
    <w:rPr>
      <w:sz w:val="52"/>
    </w:rPr>
  </w:style>
  <w:style w:type="paragraph" w:customStyle="1" w:styleId="458">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59">
    <w:name w:val="Table Text/Title"/>
    <w:basedOn w:val="1"/>
    <w:qFormat/>
    <w:uiPriority w:val="0"/>
    <w:pPr>
      <w:widowControl/>
      <w:jc w:val="left"/>
    </w:pPr>
    <w:rPr>
      <w:rFonts w:ascii="宋体"/>
      <w:b/>
      <w:bCs/>
      <w:sz w:val="20"/>
      <w:szCs w:val="20"/>
      <w:lang w:eastAsia="en-US"/>
    </w:rPr>
  </w:style>
  <w:style w:type="paragraph" w:customStyle="1" w:styleId="460">
    <w:name w:val="样式 序号----------- + 仿宋_GB23121"/>
    <w:basedOn w:val="363"/>
    <w:qFormat/>
    <w:uiPriority w:val="0"/>
    <w:pPr>
      <w:spacing w:line="360" w:lineRule="auto"/>
    </w:pPr>
    <w:rPr>
      <w:rFonts w:ascii="仿宋_GB2312" w:eastAsia="仿宋_GB2312"/>
      <w:bCs w:val="0"/>
    </w:rPr>
  </w:style>
  <w:style w:type="paragraph" w:customStyle="1" w:styleId="461">
    <w:name w:val="Char Char Char Char1"/>
    <w:basedOn w:val="1"/>
    <w:qFormat/>
    <w:uiPriority w:val="0"/>
    <w:pPr>
      <w:spacing w:line="360" w:lineRule="auto"/>
      <w:ind w:firstLine="200"/>
    </w:pPr>
    <w:rPr>
      <w:sz w:val="24"/>
      <w:szCs w:val="20"/>
    </w:rPr>
  </w:style>
  <w:style w:type="paragraph" w:customStyle="1" w:styleId="462">
    <w:name w:val="正文_1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3">
    <w:name w:val=" Char1"/>
    <w:basedOn w:val="1"/>
    <w:qFormat/>
    <w:uiPriority w:val="0"/>
    <w:pPr>
      <w:tabs>
        <w:tab w:val="left" w:pos="360"/>
      </w:tabs>
      <w:spacing w:line="480" w:lineRule="auto"/>
      <w:ind w:left="360" w:right="202" w:firstLine="360"/>
    </w:pPr>
    <w:rPr>
      <w:sz w:val="24"/>
    </w:rPr>
  </w:style>
  <w:style w:type="paragraph" w:customStyle="1" w:styleId="464">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5">
    <w:name w:val="章标题"/>
    <w:next w:val="377"/>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66">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7">
    <w:name w:val="Normal_0_1"/>
    <w:qFormat/>
    <w:uiPriority w:val="0"/>
    <w:rPr>
      <w:rFonts w:hint="default" w:ascii="黑体" w:hAnsi="黑体" w:eastAsia="黑体" w:cs="Times New Roman"/>
      <w:b/>
      <w:sz w:val="32"/>
      <w:szCs w:val="24"/>
      <w:lang w:bidi="ar-SA"/>
    </w:rPr>
  </w:style>
  <w:style w:type="paragraph" w:customStyle="1" w:styleId="468">
    <w:name w:val="列表段落"/>
    <w:basedOn w:val="1"/>
    <w:qFormat/>
    <w:uiPriority w:val="34"/>
    <w:pPr>
      <w:ind w:firstLine="420"/>
    </w:pPr>
  </w:style>
  <w:style w:type="paragraph" w:customStyle="1" w:styleId="469">
    <w:name w:val="默认段落字体 Para Char Char Char Char Char Char Char Char Char1 Char Char Char Char Char Char Char Char"/>
    <w:basedOn w:val="205"/>
    <w:qFormat/>
    <w:uiPriority w:val="0"/>
    <w:rPr>
      <w:rFonts w:ascii="Calibri" w:hAnsi="Calibri"/>
      <w:szCs w:val="22"/>
    </w:rPr>
  </w:style>
  <w:style w:type="paragraph" w:customStyle="1" w:styleId="470">
    <w:name w:val="Normal_7_0"/>
    <w:qFormat/>
    <w:uiPriority w:val="0"/>
    <w:rPr>
      <w:rFonts w:hint="default" w:ascii="黑体" w:hAnsi="黑体" w:eastAsia="黑体" w:cs="Times New Roman"/>
      <w:b/>
      <w:sz w:val="32"/>
      <w:szCs w:val="24"/>
      <w:lang w:bidi="ar-SA"/>
    </w:rPr>
  </w:style>
  <w:style w:type="paragraph" w:customStyle="1" w:styleId="47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2">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73">
    <w:name w:val="Normal_12_0"/>
    <w:qFormat/>
    <w:uiPriority w:val="0"/>
    <w:rPr>
      <w:rFonts w:hint="default" w:ascii="黑体" w:hAnsi="黑体" w:eastAsia="黑体" w:cs="Times New Roman"/>
      <w:b/>
      <w:sz w:val="32"/>
      <w:szCs w:val="24"/>
      <w:lang w:bidi="ar-SA"/>
    </w:rPr>
  </w:style>
  <w:style w:type="paragraph" w:customStyle="1" w:styleId="474">
    <w:name w:val="ul"/>
    <w:basedOn w:val="1"/>
    <w:qFormat/>
    <w:uiPriority w:val="0"/>
    <w:pPr>
      <w:widowControl/>
      <w:numPr>
        <w:ilvl w:val="0"/>
        <w:numId w:val="3"/>
      </w:numPr>
      <w:tabs>
        <w:tab w:val="left" w:pos="842"/>
      </w:tabs>
      <w:spacing w:line="360" w:lineRule="auto"/>
      <w:ind w:left="567" w:hanging="85"/>
      <w:jc w:val="left"/>
    </w:pPr>
    <w:rPr>
      <w:rFonts w:ascii="Calibri" w:hAnsi="Calibri"/>
      <w:sz w:val="24"/>
      <w:szCs w:val="22"/>
    </w:rPr>
  </w:style>
  <w:style w:type="paragraph" w:customStyle="1" w:styleId="475">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76">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477">
    <w:name w:val="Normal_18"/>
    <w:qFormat/>
    <w:uiPriority w:val="0"/>
    <w:rPr>
      <w:rFonts w:hint="default" w:ascii="黑体" w:hAnsi="黑体" w:eastAsia="黑体" w:cs="Times New Roman"/>
      <w:b/>
      <w:sz w:val="32"/>
      <w:szCs w:val="24"/>
      <w:lang w:bidi="ar-SA"/>
    </w:rPr>
  </w:style>
  <w:style w:type="paragraph" w:customStyle="1" w:styleId="478">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79">
    <w:name w:val="Normal_0_3"/>
    <w:qFormat/>
    <w:uiPriority w:val="0"/>
    <w:rPr>
      <w:rFonts w:hint="default" w:ascii="黑体" w:hAnsi="黑体" w:eastAsia="黑体" w:cs="Times New Roman"/>
      <w:b/>
      <w:sz w:val="32"/>
      <w:szCs w:val="24"/>
      <w:lang w:bidi="ar-SA"/>
    </w:rPr>
  </w:style>
  <w:style w:type="paragraph" w:customStyle="1" w:styleId="480">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1">
    <w:name w:val="修订"/>
    <w:qFormat/>
    <w:uiPriority w:val="0"/>
    <w:rPr>
      <w:rFonts w:hint="default" w:ascii="Times New Roman" w:hAnsi="Times New Roman" w:eastAsia="宋体" w:cs="Times New Roman"/>
      <w:sz w:val="21"/>
      <w:szCs w:val="24"/>
      <w:lang w:val="en-US" w:eastAsia="zh-CN" w:bidi="ar-SA"/>
    </w:rPr>
  </w:style>
  <w:style w:type="paragraph" w:customStyle="1" w:styleId="482">
    <w:name w:val="Char11"/>
    <w:basedOn w:val="1"/>
    <w:qFormat/>
    <w:uiPriority w:val="0"/>
    <w:rPr>
      <w:szCs w:val="21"/>
    </w:rPr>
  </w:style>
  <w:style w:type="paragraph" w:customStyle="1" w:styleId="483">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484">
    <w:name w:val="Normal_12"/>
    <w:qFormat/>
    <w:uiPriority w:val="0"/>
    <w:rPr>
      <w:rFonts w:hint="default" w:ascii="黑体" w:hAnsi="黑体" w:eastAsia="黑体" w:cs="Times New Roman"/>
      <w:b/>
      <w:sz w:val="32"/>
      <w:szCs w:val="24"/>
      <w:lang w:bidi="ar-SA"/>
    </w:rPr>
  </w:style>
  <w:style w:type="paragraph" w:customStyle="1" w:styleId="485">
    <w:name w:val="Normal_8_0"/>
    <w:qFormat/>
    <w:uiPriority w:val="0"/>
    <w:rPr>
      <w:rFonts w:hint="default" w:ascii="黑体" w:hAnsi="黑体" w:eastAsia="黑体" w:cs="Times New Roman"/>
      <w:b/>
      <w:sz w:val="32"/>
      <w:szCs w:val="24"/>
      <w:lang w:bidi="ar-SA"/>
    </w:rPr>
  </w:style>
  <w:style w:type="paragraph" w:customStyle="1" w:styleId="486">
    <w:name w:val="文档正文"/>
    <w:basedOn w:val="1"/>
    <w:qFormat/>
    <w:uiPriority w:val="0"/>
    <w:rPr>
      <w:rFonts w:ascii="宋体"/>
      <w:szCs w:val="20"/>
    </w:rPr>
  </w:style>
  <w:style w:type="paragraph" w:customStyle="1" w:styleId="487">
    <w:name w:val="技术方案正文"/>
    <w:basedOn w:val="1"/>
    <w:qFormat/>
    <w:uiPriority w:val="0"/>
    <w:pPr>
      <w:spacing w:line="360" w:lineRule="auto"/>
      <w:ind w:firstLine="480"/>
    </w:pPr>
    <w:rPr>
      <w:rFonts w:ascii="宋体"/>
      <w:sz w:val="24"/>
      <w:szCs w:val="22"/>
    </w:rPr>
  </w:style>
  <w:style w:type="paragraph" w:customStyle="1" w:styleId="48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89">
    <w:name w:val="普通正文"/>
    <w:basedOn w:val="1"/>
    <w:qFormat/>
    <w:uiPriority w:val="0"/>
    <w:pPr>
      <w:ind w:firstLine="425"/>
      <w:jc w:val="left"/>
    </w:pPr>
    <w:rPr>
      <w:rFonts w:ascii="宋体"/>
      <w:sz w:val="20"/>
      <w:szCs w:val="20"/>
    </w:rPr>
  </w:style>
  <w:style w:type="paragraph" w:customStyle="1" w:styleId="490">
    <w:name w:val="正文_1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91">
    <w:name w:val="Normal_0_2"/>
    <w:qFormat/>
    <w:uiPriority w:val="0"/>
    <w:rPr>
      <w:rFonts w:hint="default" w:ascii="黑体" w:hAnsi="黑体" w:eastAsia="黑体" w:cs="Times New Roman"/>
      <w:b/>
      <w:sz w:val="32"/>
      <w:szCs w:val="24"/>
      <w:lang w:bidi="ar-SA"/>
    </w:rPr>
  </w:style>
  <w:style w:type="paragraph" w:customStyle="1" w:styleId="49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93">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4">
    <w:name w:val="样式4"/>
    <w:basedOn w:val="184"/>
    <w:qFormat/>
    <w:uiPriority w:val="0"/>
    <w:pPr>
      <w:spacing w:line="415" w:lineRule="auto"/>
    </w:pPr>
    <w:rPr>
      <w:rFonts w:ascii="Calibri" w:hAnsi="Calibri"/>
      <w:bCs/>
      <w:color w:val="000000"/>
      <w:sz w:val="28"/>
      <w:szCs w:val="28"/>
    </w:rPr>
  </w:style>
  <w:style w:type="paragraph" w:customStyle="1" w:styleId="495">
    <w:name w:val="pa-4"/>
    <w:basedOn w:val="1"/>
    <w:qFormat/>
    <w:uiPriority w:val="0"/>
    <w:pPr>
      <w:widowControl/>
      <w:spacing w:line="280" w:lineRule="atLeast"/>
      <w:jc w:val="center"/>
    </w:pPr>
    <w:rPr>
      <w:rFonts w:ascii="宋体" w:cs="宋体"/>
      <w:sz w:val="24"/>
      <w:lang w:bidi="ar-SA"/>
    </w:rPr>
  </w:style>
  <w:style w:type="paragraph" w:customStyle="1" w:styleId="496">
    <w:name w:val="Normal_1"/>
    <w:qFormat/>
    <w:uiPriority w:val="0"/>
    <w:rPr>
      <w:rFonts w:hint="default" w:ascii="黑体" w:hAnsi="黑体" w:eastAsia="黑体" w:cs="Times New Roman"/>
      <w:b/>
      <w:sz w:val="32"/>
      <w:szCs w:val="24"/>
      <w:lang w:bidi="ar-SA"/>
    </w:rPr>
  </w:style>
  <w:style w:type="paragraph" w:customStyle="1" w:styleId="497">
    <w:name w:val="标书3"/>
    <w:next w:val="396"/>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98">
    <w:name w:val="Char"/>
    <w:basedOn w:val="1"/>
    <w:qFormat/>
    <w:uiPriority w:val="0"/>
    <w:pPr>
      <w:tabs>
        <w:tab w:val="left" w:pos="360"/>
      </w:tabs>
    </w:pPr>
    <w:rPr>
      <w:rFonts w:ascii="仿宋_GB2312" w:eastAsia="仿宋_GB2312"/>
      <w:b/>
      <w:sz w:val="24"/>
    </w:rPr>
  </w:style>
  <w:style w:type="paragraph" w:customStyle="1" w:styleId="499">
    <w:name w:val="正文_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0">
    <w:name w:val="正文（首行缩进两字）"/>
    <w:basedOn w:val="1"/>
    <w:qFormat/>
    <w:uiPriority w:val="0"/>
    <w:pPr>
      <w:spacing w:line="312" w:lineRule="auto"/>
    </w:pPr>
    <w:rPr>
      <w:rFonts w:ascii="宋体" w:cs="宋体"/>
      <w:sz w:val="24"/>
      <w:szCs w:val="22"/>
      <w:lang w:bidi="ar-SA"/>
    </w:rPr>
  </w:style>
  <w:style w:type="paragraph" w:customStyle="1" w:styleId="501">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502">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3">
    <w:name w:val="正文_1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04">
    <w:name w:val="pa-3"/>
    <w:basedOn w:val="1"/>
    <w:qFormat/>
    <w:uiPriority w:val="0"/>
    <w:pPr>
      <w:widowControl/>
      <w:spacing w:before="150" w:after="150"/>
      <w:jc w:val="left"/>
    </w:pPr>
    <w:rPr>
      <w:rFonts w:ascii="宋体" w:cs="宋体"/>
      <w:sz w:val="24"/>
      <w:lang w:bidi="ar-SA"/>
    </w:rPr>
  </w:style>
  <w:style w:type="paragraph" w:customStyle="1" w:styleId="505">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06">
    <w:name w:val="Normal_10_0"/>
    <w:qFormat/>
    <w:uiPriority w:val="0"/>
    <w:rPr>
      <w:rFonts w:hint="default" w:ascii="黑体" w:hAnsi="黑体" w:eastAsia="黑体" w:cs="Times New Roman"/>
      <w:b/>
      <w:sz w:val="32"/>
      <w:szCs w:val="24"/>
      <w:lang w:bidi="ar-SA"/>
    </w:rPr>
  </w:style>
  <w:style w:type="paragraph" w:customStyle="1" w:styleId="507">
    <w:name w:val="Normal_6"/>
    <w:qFormat/>
    <w:uiPriority w:val="0"/>
    <w:rPr>
      <w:rFonts w:hint="default" w:ascii="黑体" w:hAnsi="黑体" w:eastAsia="黑体" w:cs="Times New Roman"/>
      <w:b/>
      <w:sz w:val="32"/>
      <w:szCs w:val="24"/>
      <w:lang w:bidi="ar-SA"/>
    </w:rPr>
  </w:style>
  <w:style w:type="paragraph" w:customStyle="1" w:styleId="508">
    <w:name w:val=" Char Char Char Char"/>
    <w:basedOn w:val="1"/>
    <w:qFormat/>
    <w:uiPriority w:val="0"/>
    <w:pPr>
      <w:widowControl/>
      <w:spacing w:after="120" w:line="360" w:lineRule="auto"/>
      <w:ind w:left="560" w:firstLine="200"/>
      <w:jc w:val="left"/>
    </w:pPr>
    <w:rPr>
      <w:rFonts w:ascii="Verdana" w:hAnsi="Verdana"/>
      <w:sz w:val="24"/>
      <w:szCs w:val="22"/>
    </w:rPr>
  </w:style>
  <w:style w:type="paragraph" w:customStyle="1" w:styleId="509">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10">
    <w:name w:val="Body Text First Indent 21"/>
    <w:basedOn w:val="213"/>
    <w:qFormat/>
    <w:uiPriority w:val="99"/>
    <w:pPr>
      <w:ind w:firstLine="420"/>
    </w:pPr>
  </w:style>
  <w:style w:type="paragraph" w:customStyle="1" w:styleId="511">
    <w:name w:val="CM17"/>
    <w:basedOn w:val="1"/>
    <w:next w:val="1"/>
    <w:qFormat/>
    <w:uiPriority w:val="0"/>
    <w:pPr>
      <w:spacing w:after="273" w:line="360" w:lineRule="auto"/>
      <w:jc w:val="left"/>
    </w:pPr>
    <w:rPr>
      <w:rFonts w:ascii="宋体"/>
      <w:sz w:val="24"/>
    </w:rPr>
  </w:style>
  <w:style w:type="paragraph" w:customStyle="1" w:styleId="512">
    <w:name w:val="pa-0"/>
    <w:basedOn w:val="1"/>
    <w:qFormat/>
    <w:uiPriority w:val="0"/>
    <w:pPr>
      <w:widowControl/>
      <w:spacing w:line="360" w:lineRule="atLeast"/>
      <w:ind w:firstLine="480"/>
    </w:pPr>
    <w:rPr>
      <w:rFonts w:ascii="宋体" w:cs="宋体"/>
      <w:sz w:val="24"/>
      <w:lang w:bidi="ar-SA"/>
    </w:rPr>
  </w:style>
  <w:style w:type="paragraph" w:customStyle="1" w:styleId="513">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4">
    <w:name w:val="D&amp;L"/>
    <w:basedOn w:val="231"/>
    <w:qFormat/>
    <w:uiPriority w:val="0"/>
    <w:pPr>
      <w:pBdr>
        <w:bottom w:val="single" w:color="000000" w:sz="18" w:space="1"/>
      </w:pBdr>
      <w:spacing w:line="240" w:lineRule="atLeast"/>
    </w:pPr>
    <w:rPr>
      <w:sz w:val="24"/>
      <w:szCs w:val="20"/>
    </w:rPr>
  </w:style>
  <w:style w:type="paragraph" w:customStyle="1" w:styleId="515">
    <w:name w:val="Normal_16"/>
    <w:qFormat/>
    <w:uiPriority w:val="0"/>
    <w:rPr>
      <w:rFonts w:hint="default" w:ascii="黑体" w:hAnsi="黑体" w:eastAsia="黑体" w:cs="Times New Roman"/>
      <w:b/>
      <w:sz w:val="32"/>
      <w:szCs w:val="24"/>
      <w:lang w:bidi="ar-SA"/>
    </w:rPr>
  </w:style>
  <w:style w:type="paragraph" w:customStyle="1" w:styleId="516">
    <w:name w:val="正文_6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17">
    <w:name w:val="font5"/>
    <w:basedOn w:val="1"/>
    <w:qFormat/>
    <w:uiPriority w:val="0"/>
    <w:pPr>
      <w:widowControl/>
      <w:spacing w:before="100" w:beforeAutospacing="1" w:after="100" w:afterAutospacing="1"/>
      <w:jc w:val="left"/>
    </w:pPr>
    <w:rPr>
      <w:rFonts w:ascii="宋体"/>
      <w:sz w:val="18"/>
      <w:szCs w:val="18"/>
    </w:rPr>
  </w:style>
  <w:style w:type="paragraph" w:customStyle="1" w:styleId="518">
    <w:name w:val="正文_6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19">
    <w:name w:val="大汉方案正文 Char"/>
    <w:basedOn w:val="1"/>
    <w:qFormat/>
    <w:uiPriority w:val="0"/>
    <w:pPr>
      <w:spacing w:line="360" w:lineRule="auto"/>
      <w:ind w:firstLine="200"/>
    </w:pPr>
    <w:rPr>
      <w:rFonts w:ascii="Arial" w:hAnsi="Arial"/>
      <w:sz w:val="24"/>
      <w:szCs w:val="22"/>
    </w:rPr>
  </w:style>
  <w:style w:type="paragraph" w:customStyle="1" w:styleId="520">
    <w:name w:val="样式2"/>
    <w:basedOn w:val="184"/>
    <w:qFormat/>
    <w:uiPriority w:val="0"/>
    <w:pPr>
      <w:spacing w:line="415" w:lineRule="auto"/>
    </w:pPr>
    <w:rPr>
      <w:rFonts w:ascii="Calibri" w:hAnsi="Calibri"/>
      <w:bCs/>
      <w:color w:val="000000"/>
      <w:sz w:val="28"/>
      <w:szCs w:val="28"/>
    </w:rPr>
  </w:style>
  <w:style w:type="paragraph" w:customStyle="1" w:styleId="521">
    <w:name w:val="Normal_2_0"/>
    <w:qFormat/>
    <w:uiPriority w:val="0"/>
    <w:rPr>
      <w:rFonts w:hint="default" w:ascii="黑体" w:hAnsi="黑体" w:eastAsia="黑体" w:cs="Times New Roman"/>
      <w:b/>
      <w:sz w:val="32"/>
      <w:szCs w:val="24"/>
      <w:lang w:bidi="ar-SA"/>
    </w:rPr>
  </w:style>
  <w:style w:type="paragraph" w:customStyle="1" w:styleId="522">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23">
    <w:name w:val="Normal_4"/>
    <w:qFormat/>
    <w:uiPriority w:val="0"/>
    <w:rPr>
      <w:rFonts w:hint="default" w:ascii="黑体" w:hAnsi="黑体" w:eastAsia="黑体" w:cs="Times New Roman"/>
      <w:b/>
      <w:sz w:val="32"/>
      <w:szCs w:val="24"/>
      <w:lang w:bidi="ar-SA"/>
    </w:rPr>
  </w:style>
  <w:style w:type="paragraph" w:customStyle="1" w:styleId="52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25">
    <w:name w:val="txt"/>
    <w:basedOn w:val="1"/>
    <w:qFormat/>
    <w:uiPriority w:val="0"/>
    <w:pPr>
      <w:widowControl/>
      <w:spacing w:before="100" w:beforeAutospacing="1" w:after="100" w:afterAutospacing="1"/>
      <w:jc w:val="left"/>
    </w:pPr>
    <w:rPr>
      <w:rFonts w:ascii="宋体" w:cs="宋体"/>
      <w:sz w:val="24"/>
      <w:lang w:bidi="ar-SA"/>
    </w:rPr>
  </w:style>
  <w:style w:type="paragraph" w:customStyle="1" w:styleId="526">
    <w:name w:val="样式5"/>
    <w:basedOn w:val="184"/>
    <w:qFormat/>
    <w:uiPriority w:val="0"/>
    <w:pPr>
      <w:spacing w:line="415" w:lineRule="auto"/>
    </w:pPr>
    <w:rPr>
      <w:rFonts w:ascii="Calibri" w:hAnsi="Calibri"/>
      <w:bCs/>
      <w:color w:val="000000"/>
      <w:sz w:val="28"/>
      <w:szCs w:val="28"/>
    </w:rPr>
  </w:style>
  <w:style w:type="paragraph" w:customStyle="1" w:styleId="527">
    <w:name w:val="font7"/>
    <w:basedOn w:val="1"/>
    <w:qFormat/>
    <w:uiPriority w:val="0"/>
    <w:pPr>
      <w:widowControl/>
      <w:spacing w:before="100" w:beforeAutospacing="1" w:after="100" w:afterAutospacing="1"/>
      <w:jc w:val="left"/>
    </w:pPr>
    <w:rPr>
      <w:rFonts w:ascii="宋体"/>
      <w:sz w:val="20"/>
      <w:szCs w:val="20"/>
    </w:rPr>
  </w:style>
  <w:style w:type="paragraph" w:customStyle="1" w:styleId="528">
    <w:name w:val="正文_4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2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30">
    <w:name w:val="编号"/>
    <w:basedOn w:val="1"/>
    <w:next w:val="396"/>
    <w:qFormat/>
    <w:uiPriority w:val="0"/>
    <w:pPr>
      <w:widowControl/>
      <w:tabs>
        <w:tab w:val="left" w:pos="420"/>
      </w:tabs>
      <w:ind w:left="420" w:right="-136" w:hanging="420"/>
    </w:pPr>
    <w:rPr>
      <w:rFonts w:ascii="仿宋_GB2312" w:eastAsia="仿宋_GB2312"/>
      <w:b/>
      <w:bCs/>
      <w:sz w:val="24"/>
      <w:szCs w:val="21"/>
    </w:rPr>
  </w:style>
  <w:style w:type="paragraph" w:customStyle="1" w:styleId="531">
    <w:name w:val="TOC 标题"/>
    <w:basedOn w:val="182"/>
    <w:next w:val="1"/>
    <w:qFormat/>
    <w:uiPriority w:val="0"/>
    <w:pPr>
      <w:widowControl/>
      <w:spacing w:before="480" w:after="0" w:line="276" w:lineRule="auto"/>
      <w:outlineLvl w:val="9"/>
    </w:pPr>
    <w:rPr>
      <w:rFonts w:ascii="Cambria" w:hAnsi="Cambria"/>
      <w:color w:val="365F91"/>
      <w:sz w:val="28"/>
    </w:rPr>
  </w:style>
  <w:style w:type="paragraph" w:customStyle="1" w:styleId="532">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33">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34">
    <w:name w:val="font8"/>
    <w:basedOn w:val="1"/>
    <w:qFormat/>
    <w:uiPriority w:val="0"/>
    <w:pPr>
      <w:widowControl/>
      <w:spacing w:before="100" w:beforeAutospacing="1" w:after="100" w:afterAutospacing="1"/>
      <w:jc w:val="left"/>
    </w:pPr>
    <w:rPr>
      <w:rFonts w:ascii="Arial" w:hAnsi="Arial" w:cs="Arial"/>
      <w:color w:val="000000"/>
      <w:sz w:val="18"/>
      <w:szCs w:val="18"/>
      <w:lang w:bidi="ar-SA"/>
    </w:rPr>
  </w:style>
  <w:style w:type="paragraph" w:customStyle="1" w:styleId="535">
    <w:name w:val="Char Char Char Char Char Char Char Char Char Char1"/>
    <w:basedOn w:val="1"/>
    <w:qFormat/>
    <w:uiPriority w:val="0"/>
    <w:rPr>
      <w:rFonts w:ascii="Tahoma" w:hAnsi="Tahoma" w:cs="Tahoma"/>
      <w:sz w:val="24"/>
      <w:lang w:bidi="ar-SA"/>
    </w:rPr>
  </w:style>
  <w:style w:type="paragraph" w:customStyle="1" w:styleId="536">
    <w:name w:val="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37">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38">
    <w:name w:val="正文_14"/>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39">
    <w:name w:val="Normal_11"/>
    <w:qFormat/>
    <w:uiPriority w:val="0"/>
    <w:rPr>
      <w:rFonts w:hint="default" w:ascii="黑体" w:hAnsi="黑体" w:eastAsia="黑体" w:cs="Times New Roman"/>
      <w:b/>
      <w:sz w:val="32"/>
      <w:szCs w:val="24"/>
      <w:lang w:bidi="ar-SA"/>
    </w:rPr>
  </w:style>
  <w:style w:type="paragraph" w:customStyle="1" w:styleId="540">
    <w:name w:val="Char12"/>
    <w:basedOn w:val="1"/>
    <w:qFormat/>
    <w:uiPriority w:val="0"/>
    <w:pPr>
      <w:tabs>
        <w:tab w:val="left" w:pos="360"/>
      </w:tabs>
      <w:spacing w:line="480" w:lineRule="auto"/>
      <w:ind w:left="360" w:right="202" w:firstLine="360"/>
    </w:pPr>
    <w:rPr>
      <w:sz w:val="24"/>
    </w:rPr>
  </w:style>
  <w:style w:type="paragraph" w:customStyle="1" w:styleId="541">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54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43">
    <w:name w:val="正文_1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44">
    <w:name w:val="style42"/>
    <w:basedOn w:val="1"/>
    <w:qFormat/>
    <w:uiPriority w:val="0"/>
    <w:pPr>
      <w:widowControl/>
      <w:spacing w:before="100" w:beforeAutospacing="1" w:after="100" w:afterAutospacing="1"/>
      <w:jc w:val="left"/>
    </w:pPr>
    <w:rPr>
      <w:rFonts w:ascii="宋体" w:cs="宋体"/>
      <w:color w:val="000000"/>
      <w:sz w:val="15"/>
      <w:szCs w:val="15"/>
      <w:lang w:bidi="ar-SA"/>
    </w:rPr>
  </w:style>
  <w:style w:type="paragraph" w:customStyle="1" w:styleId="545">
    <w:name w:val="样式 标题 2 + Times New Roman 四号 非加粗 段前: 5 磅 段后: 0 磅 行距: 固定值 20..."/>
    <w:basedOn w:val="183"/>
    <w:qFormat/>
    <w:uiPriority w:val="0"/>
    <w:pPr>
      <w:spacing w:before="100" w:after="0" w:line="400" w:lineRule="exact"/>
    </w:pPr>
    <w:rPr>
      <w:rFonts w:ascii="Times New Roman" w:hAnsi="Times New Roman" w:cs="宋体"/>
      <w:b w:val="0"/>
      <w:sz w:val="28"/>
      <w:szCs w:val="20"/>
    </w:rPr>
  </w:style>
  <w:style w:type="paragraph" w:customStyle="1" w:styleId="546">
    <w:name w:val="font6"/>
    <w:basedOn w:val="1"/>
    <w:qFormat/>
    <w:uiPriority w:val="0"/>
    <w:pPr>
      <w:widowControl/>
      <w:spacing w:before="100" w:beforeAutospacing="1" w:after="100" w:afterAutospacing="1"/>
      <w:jc w:val="left"/>
    </w:pPr>
    <w:rPr>
      <w:sz w:val="20"/>
      <w:szCs w:val="20"/>
    </w:rPr>
  </w:style>
  <w:style w:type="paragraph" w:customStyle="1" w:styleId="547">
    <w:name w:val="样式 正文首行缩进 + 宋体 首行缩进:  0.74 厘米"/>
    <w:basedOn w:val="251"/>
    <w:qFormat/>
    <w:uiPriority w:val="0"/>
    <w:pPr>
      <w:spacing w:before="120" w:after="0" w:line="380" w:lineRule="exact"/>
      <w:ind w:firstLine="210"/>
    </w:pPr>
    <w:rPr>
      <w:rFonts w:ascii="宋体" w:cs="宋体"/>
      <w:sz w:val="24"/>
      <w:szCs w:val="20"/>
      <w:lang w:bidi="ar-SA"/>
    </w:rPr>
  </w:style>
  <w:style w:type="paragraph" w:customStyle="1" w:styleId="548">
    <w:name w:val="正文_7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49">
    <w:name w:val="Normal_17_0"/>
    <w:qFormat/>
    <w:uiPriority w:val="0"/>
    <w:rPr>
      <w:rFonts w:hint="default" w:ascii="黑体" w:hAnsi="黑体" w:eastAsia="黑体" w:cs="Times New Roman"/>
      <w:b/>
      <w:sz w:val="32"/>
      <w:szCs w:val="24"/>
      <w:lang w:bidi="ar-SA"/>
    </w:rPr>
  </w:style>
  <w:style w:type="paragraph" w:customStyle="1" w:styleId="550">
    <w:name w:val="Char Char Char Char Char Char Char Char Char Char2"/>
    <w:basedOn w:val="1"/>
    <w:qFormat/>
    <w:uiPriority w:val="0"/>
    <w:rPr>
      <w:rFonts w:ascii="Tahoma" w:hAnsi="Tahoma"/>
      <w:sz w:val="24"/>
      <w:szCs w:val="20"/>
    </w:rPr>
  </w:style>
  <w:style w:type="paragraph" w:customStyle="1" w:styleId="551">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552">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553">
    <w:name w:val="Char Char Char Char Char Char Char1 Char"/>
    <w:basedOn w:val="1"/>
    <w:qFormat/>
    <w:uiPriority w:val="0"/>
    <w:rPr>
      <w:rFonts w:ascii="Tahoma" w:hAnsi="Tahoma"/>
      <w:sz w:val="24"/>
      <w:szCs w:val="20"/>
    </w:rPr>
  </w:style>
  <w:style w:type="paragraph" w:customStyle="1" w:styleId="554">
    <w:name w:val="Char Char1 Char Char Char Char Char Char"/>
    <w:basedOn w:val="1"/>
    <w:qFormat/>
    <w:uiPriority w:val="0"/>
    <w:pPr>
      <w:widowControl/>
      <w:jc w:val="center"/>
    </w:pPr>
    <w:rPr>
      <w:szCs w:val="20"/>
    </w:rPr>
  </w:style>
  <w:style w:type="paragraph" w:customStyle="1" w:styleId="555">
    <w:name w:val="Normal Paragraph Char"/>
    <w:basedOn w:val="1"/>
    <w:qFormat/>
    <w:uiPriority w:val="0"/>
    <w:pPr>
      <w:widowControl/>
      <w:spacing w:before="120" w:line="360" w:lineRule="auto"/>
      <w:ind w:firstLine="425"/>
    </w:pPr>
    <w:rPr>
      <w:rFonts w:ascii="Calibri" w:hAnsi="Calibri"/>
      <w:sz w:val="24"/>
      <w:szCs w:val="22"/>
    </w:rPr>
  </w:style>
  <w:style w:type="paragraph" w:customStyle="1" w:styleId="556">
    <w:name w:val=" Char Char Char Char Char Char Char Char Char Char Char Char Char"/>
    <w:basedOn w:val="1"/>
    <w:qFormat/>
    <w:uiPriority w:val="0"/>
    <w:pPr>
      <w:widowControl/>
      <w:spacing w:after="160" w:line="240" w:lineRule="exact"/>
      <w:jc w:val="left"/>
    </w:pPr>
    <w:rPr>
      <w:rFonts w:ascii="Arial" w:hAnsi="Arial" w:eastAsia="Times New Roman" w:cs="Verdana"/>
      <w:b/>
      <w:sz w:val="24"/>
      <w:szCs w:val="32"/>
      <w:lang w:eastAsia="en-US" w:bidi="ar-SA"/>
    </w:rPr>
  </w:style>
  <w:style w:type="paragraph" w:customStyle="1" w:styleId="557">
    <w:name w:val="默认段落字体 Para Char"/>
    <w:basedOn w:val="1"/>
    <w:qFormat/>
    <w:uiPriority w:val="0"/>
    <w:rPr>
      <w:rFonts w:ascii="宋体"/>
      <w:b/>
      <w:sz w:val="28"/>
      <w:szCs w:val="28"/>
    </w:rPr>
  </w:style>
  <w:style w:type="paragraph" w:customStyle="1" w:styleId="558">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9">
    <w:name w:val="Normal_1_0"/>
    <w:qFormat/>
    <w:uiPriority w:val="0"/>
    <w:rPr>
      <w:rFonts w:hint="default" w:ascii="Times New Roman" w:hAnsi="Times New Roman" w:eastAsia="Times New Roman" w:cs="Times New Roman"/>
      <w:sz w:val="24"/>
      <w:szCs w:val="24"/>
      <w:lang w:bidi="ar-SA"/>
    </w:rPr>
  </w:style>
  <w:style w:type="paragraph" w:customStyle="1" w:styleId="560">
    <w:name w:val="Char Char Char"/>
    <w:basedOn w:val="1"/>
    <w:qFormat/>
    <w:uiPriority w:val="0"/>
    <w:rPr>
      <w:rFonts w:ascii="Tahoma" w:hAnsi="Tahoma"/>
      <w:sz w:val="24"/>
      <w:szCs w:val="20"/>
    </w:rPr>
  </w:style>
  <w:style w:type="paragraph" w:customStyle="1" w:styleId="561">
    <w:name w:val="Normal1"/>
    <w:qFormat/>
    <w:uiPriority w:val="0"/>
    <w:rPr>
      <w:rFonts w:hint="default" w:ascii="Times New Roman" w:hAnsi="Times New Roman" w:eastAsia="Times New Roman" w:cs="Times New Roman"/>
      <w:sz w:val="24"/>
      <w:szCs w:val="24"/>
      <w:lang w:bidi="ar-SA"/>
    </w:rPr>
  </w:style>
  <w:style w:type="paragraph" w:customStyle="1" w:styleId="562">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63">
    <w:name w:val="表格"/>
    <w:basedOn w:val="1"/>
    <w:qFormat/>
    <w:uiPriority w:val="0"/>
    <w:pPr>
      <w:ind w:firstLine="21"/>
    </w:pPr>
    <w:rPr>
      <w:rFonts w:ascii="宋体"/>
      <w:szCs w:val="20"/>
    </w:rPr>
  </w:style>
  <w:style w:type="paragraph" w:customStyle="1" w:styleId="564">
    <w:name w:val="正文_1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65">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6">
    <w:name w:val="正文_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67">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8">
    <w:name w:val="项目"/>
    <w:basedOn w:val="1"/>
    <w:qFormat/>
    <w:uiPriority w:val="0"/>
    <w:pPr>
      <w:tabs>
        <w:tab w:val="left" w:pos="840"/>
      </w:tabs>
      <w:spacing w:before="60" w:after="60" w:line="360" w:lineRule="auto"/>
      <w:ind w:left="840" w:hanging="420"/>
    </w:pPr>
    <w:rPr>
      <w:rFonts w:ascii="宋体"/>
      <w:szCs w:val="20"/>
    </w:rPr>
  </w:style>
  <w:style w:type="paragraph" w:customStyle="1" w:styleId="569">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71">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lang w:bidi="ar-SA"/>
    </w:rPr>
  </w:style>
  <w:style w:type="paragraph" w:customStyle="1" w:styleId="572">
    <w:name w:val="正文_9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73">
    <w:name w:val="规范正文"/>
    <w:basedOn w:val="1"/>
    <w:qFormat/>
    <w:uiPriority w:val="0"/>
    <w:pPr>
      <w:spacing w:line="360" w:lineRule="auto"/>
      <w:ind w:left="480"/>
    </w:pPr>
    <w:rPr>
      <w:sz w:val="24"/>
      <w:szCs w:val="20"/>
    </w:rPr>
  </w:style>
  <w:style w:type="paragraph" w:customStyle="1" w:styleId="574">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575">
    <w:name w:val="正文_8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76">
    <w:name w:val="正文_4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77">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78">
    <w:name w:val="正文_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79">
    <w:name w:val="特点"/>
    <w:basedOn w:val="1"/>
    <w:next w:val="1"/>
    <w:qFormat/>
    <w:uiPriority w:val="0"/>
    <w:pPr>
      <w:spacing w:line="360" w:lineRule="auto"/>
      <w:jc w:val="center"/>
    </w:pPr>
    <w:rPr>
      <w:rFonts w:ascii="Arial" w:hAnsi="Arial"/>
      <w:sz w:val="24"/>
      <w:szCs w:val="20"/>
    </w:rPr>
  </w:style>
  <w:style w:type="paragraph" w:customStyle="1" w:styleId="580">
    <w:name w:val="正文小四"/>
    <w:basedOn w:val="1"/>
    <w:qFormat/>
    <w:uiPriority w:val="0"/>
    <w:pPr>
      <w:spacing w:line="312" w:lineRule="auto"/>
    </w:pPr>
    <w:rPr>
      <w:rFonts w:ascii="Calibri" w:hAnsi="Calibri"/>
      <w:sz w:val="24"/>
      <w:szCs w:val="22"/>
    </w:rPr>
  </w:style>
  <w:style w:type="paragraph" w:customStyle="1" w:styleId="581">
    <w:name w:val="Normal_15_0"/>
    <w:qFormat/>
    <w:uiPriority w:val="0"/>
    <w:rPr>
      <w:rFonts w:hint="default" w:ascii="黑体" w:hAnsi="黑体" w:eastAsia="黑体" w:cs="Times New Roman"/>
      <w:b/>
      <w:sz w:val="32"/>
      <w:szCs w:val="24"/>
      <w:lang w:bidi="ar-SA"/>
    </w:rPr>
  </w:style>
  <w:style w:type="paragraph" w:customStyle="1" w:styleId="582">
    <w:name w:val="tabletext"/>
    <w:basedOn w:val="1"/>
    <w:qFormat/>
    <w:uiPriority w:val="0"/>
    <w:pPr>
      <w:widowControl/>
      <w:spacing w:before="100" w:beforeAutospacing="1" w:after="100" w:afterAutospacing="1"/>
      <w:jc w:val="left"/>
    </w:pPr>
    <w:rPr>
      <w:rFonts w:ascii="宋体"/>
      <w:sz w:val="24"/>
      <w:szCs w:val="22"/>
    </w:rPr>
  </w:style>
  <w:style w:type="paragraph" w:customStyle="1" w:styleId="583">
    <w:name w:val="表内容"/>
    <w:basedOn w:val="412"/>
    <w:qFormat/>
    <w:uiPriority w:val="0"/>
    <w:pPr>
      <w:spacing w:line="320" w:lineRule="exact"/>
      <w:ind w:left="0" w:firstLine="0"/>
    </w:pPr>
    <w:rPr>
      <w:sz w:val="20"/>
    </w:rPr>
  </w:style>
  <w:style w:type="paragraph" w:customStyle="1" w:styleId="584">
    <w:name w:val="Char1"/>
    <w:basedOn w:val="1"/>
    <w:qFormat/>
    <w:uiPriority w:val="0"/>
  </w:style>
  <w:style w:type="paragraph" w:customStyle="1" w:styleId="585">
    <w:name w:val="我的样式"/>
    <w:basedOn w:val="1"/>
    <w:qFormat/>
    <w:uiPriority w:val="0"/>
    <w:pPr>
      <w:widowControl/>
      <w:spacing w:after="120"/>
      <w:ind w:firstLine="420"/>
      <w:jc w:val="left"/>
    </w:pPr>
    <w:rPr>
      <w:rFonts w:ascii="宋体"/>
      <w:color w:val="000000"/>
      <w:sz w:val="24"/>
      <w:szCs w:val="16"/>
    </w:rPr>
  </w:style>
  <w:style w:type="paragraph" w:customStyle="1" w:styleId="586">
    <w:name w:val="正文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87">
    <w:name w:val="编号1"/>
    <w:next w:val="396"/>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588">
    <w:name w:val="Normal_0"/>
    <w:qFormat/>
    <w:uiPriority w:val="0"/>
    <w:rPr>
      <w:rFonts w:hint="default" w:ascii="黑体" w:hAnsi="黑体" w:eastAsia="黑体" w:cs="Times New Roman"/>
      <w:b/>
      <w:sz w:val="32"/>
      <w:szCs w:val="24"/>
      <w:lang w:bidi="ar-SA"/>
    </w:rPr>
  </w:style>
  <w:style w:type="paragraph" w:customStyle="1" w:styleId="589">
    <w:name w:val="首页单位日期"/>
    <w:basedOn w:val="1"/>
    <w:qFormat/>
    <w:uiPriority w:val="0"/>
    <w:pPr>
      <w:widowControl/>
      <w:jc w:val="center"/>
    </w:pPr>
    <w:rPr>
      <w:rFonts w:ascii="宋体" w:cs="宋体"/>
      <w:bCs/>
      <w:sz w:val="28"/>
      <w:szCs w:val="20"/>
      <w:lang w:bidi="ar-SA"/>
    </w:rPr>
  </w:style>
  <w:style w:type="paragraph" w:customStyle="1" w:styleId="590">
    <w:name w:val="Normal Paragraph"/>
    <w:basedOn w:val="1"/>
    <w:qFormat/>
    <w:uiPriority w:val="0"/>
    <w:pPr>
      <w:widowControl/>
      <w:spacing w:before="120" w:line="360" w:lineRule="auto"/>
      <w:ind w:firstLine="425"/>
    </w:pPr>
    <w:rPr>
      <w:rFonts w:ascii="Calibri" w:hAnsi="Calibri"/>
      <w:sz w:val="24"/>
      <w:szCs w:val="20"/>
    </w:rPr>
  </w:style>
  <w:style w:type="paragraph" w:customStyle="1" w:styleId="591">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92">
    <w:name w:val="È±Ê¡ÎÄ±¾"/>
    <w:basedOn w:val="1"/>
    <w:qFormat/>
    <w:uiPriority w:val="0"/>
    <w:pPr>
      <w:widowControl/>
      <w:spacing w:line="360" w:lineRule="auto"/>
      <w:jc w:val="left"/>
    </w:pPr>
    <w:rPr>
      <w:sz w:val="24"/>
      <w:szCs w:val="20"/>
    </w:rPr>
  </w:style>
  <w:style w:type="paragraph" w:customStyle="1" w:styleId="593">
    <w:name w:val="Char Char Char Char Char Char Char Char Char Char"/>
    <w:basedOn w:val="1"/>
    <w:qFormat/>
    <w:uiPriority w:val="0"/>
    <w:rPr>
      <w:rFonts w:ascii="Tahoma" w:hAnsi="Tahoma"/>
      <w:sz w:val="24"/>
      <w:szCs w:val="20"/>
    </w:rPr>
  </w:style>
  <w:style w:type="paragraph" w:customStyle="1" w:styleId="594">
    <w:name w:val="a1"/>
    <w:basedOn w:val="1"/>
    <w:qFormat/>
    <w:uiPriority w:val="0"/>
    <w:pPr>
      <w:widowControl/>
      <w:spacing w:before="100" w:beforeAutospacing="1" w:after="100" w:afterAutospacing="1"/>
      <w:jc w:val="left"/>
    </w:pPr>
    <w:rPr>
      <w:rFonts w:ascii="宋体"/>
      <w:sz w:val="24"/>
      <w:szCs w:val="22"/>
    </w:rPr>
  </w:style>
  <w:style w:type="paragraph" w:customStyle="1" w:styleId="595">
    <w:name w:val="正文_1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96">
    <w:name w:val="正文_11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9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98">
    <w:name w:val="正文段"/>
    <w:basedOn w:val="1"/>
    <w:qFormat/>
    <w:uiPriority w:val="0"/>
    <w:pPr>
      <w:widowControl/>
      <w:spacing w:after="240" w:line="240" w:lineRule="atLeast"/>
      <w:ind w:firstLine="425"/>
    </w:pPr>
    <w:rPr>
      <w:sz w:val="24"/>
      <w:szCs w:val="20"/>
    </w:rPr>
  </w:style>
  <w:style w:type="paragraph" w:customStyle="1" w:styleId="599">
    <w:name w:val="Normal_16_0"/>
    <w:qFormat/>
    <w:uiPriority w:val="0"/>
    <w:rPr>
      <w:rFonts w:hint="default" w:ascii="黑体" w:hAnsi="黑体" w:eastAsia="黑体" w:cs="Times New Roman"/>
      <w:b/>
      <w:sz w:val="32"/>
      <w:szCs w:val="24"/>
      <w:lang w:bidi="ar-SA"/>
    </w:rPr>
  </w:style>
  <w:style w:type="paragraph" w:customStyle="1" w:styleId="600">
    <w:name w:val="Normal_17"/>
    <w:qFormat/>
    <w:uiPriority w:val="0"/>
    <w:rPr>
      <w:rFonts w:hint="default" w:ascii="黑体" w:hAnsi="黑体" w:eastAsia="黑体" w:cs="Times New Roman"/>
      <w:b/>
      <w:sz w:val="32"/>
      <w:szCs w:val="24"/>
      <w:lang w:bidi="ar-SA"/>
    </w:rPr>
  </w:style>
  <w:style w:type="paragraph" w:customStyle="1" w:styleId="601">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02">
    <w:name w:val="列出段落[858D7CFB-ED40-4347-BF05-701D383B685F][858D7CFB-ED40-4347-BF05-701D383B685F]"/>
    <w:basedOn w:val="1"/>
    <w:qFormat/>
    <w:uiPriority w:val="0"/>
    <w:pPr>
      <w:ind w:firstLine="200"/>
    </w:pPr>
    <w:rPr>
      <w:rFonts w:ascii="Calibri" w:hAnsi="Calibri"/>
      <w:szCs w:val="22"/>
    </w:rPr>
  </w:style>
  <w:style w:type="paragraph" w:customStyle="1" w:styleId="603">
    <w:name w:val="缺省文本"/>
    <w:basedOn w:val="1"/>
    <w:qFormat/>
    <w:uiPriority w:val="0"/>
    <w:pPr>
      <w:jc w:val="left"/>
    </w:pPr>
    <w:rPr>
      <w:sz w:val="24"/>
      <w:szCs w:val="20"/>
    </w:rPr>
  </w:style>
  <w:style w:type="paragraph" w:customStyle="1" w:styleId="604">
    <w:name w:val="Normal_13"/>
    <w:qFormat/>
    <w:uiPriority w:val="0"/>
    <w:rPr>
      <w:rFonts w:hint="default" w:ascii="黑体" w:hAnsi="黑体" w:eastAsia="黑体" w:cs="Times New Roman"/>
      <w:b/>
      <w:sz w:val="32"/>
      <w:szCs w:val="24"/>
      <w:lang w:bidi="ar-SA"/>
    </w:rPr>
  </w:style>
  <w:style w:type="paragraph" w:customStyle="1" w:styleId="605">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606">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07">
    <w:name w:val="附图居中"/>
    <w:basedOn w:val="1"/>
    <w:next w:val="440"/>
    <w:qFormat/>
    <w:uiPriority w:val="0"/>
    <w:pPr>
      <w:keepNext/>
      <w:tabs>
        <w:tab w:val="left" w:pos="0"/>
      </w:tabs>
      <w:spacing w:line="360" w:lineRule="auto"/>
      <w:ind w:left="1271" w:hanging="420"/>
      <w:jc w:val="center"/>
    </w:pPr>
    <w:rPr>
      <w:caps/>
      <w:sz w:val="24"/>
    </w:rPr>
  </w:style>
  <w:style w:type="paragraph" w:customStyle="1" w:styleId="608">
    <w:name w:val="正文_0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09">
    <w:name w:val="正文 + 宋体"/>
    <w:basedOn w:val="1"/>
    <w:qFormat/>
    <w:uiPriority w:val="0"/>
    <w:pPr>
      <w:ind w:firstLine="250"/>
    </w:pPr>
    <w:rPr>
      <w:rFonts w:ascii="宋体"/>
      <w:szCs w:val="21"/>
    </w:rPr>
  </w:style>
  <w:style w:type="paragraph" w:customStyle="1" w:styleId="610">
    <w:name w:val="Normal_5"/>
    <w:qFormat/>
    <w:uiPriority w:val="0"/>
    <w:rPr>
      <w:rFonts w:hint="default" w:ascii="黑体" w:hAnsi="黑体" w:eastAsia="黑体" w:cs="Times New Roman"/>
      <w:b/>
      <w:sz w:val="32"/>
      <w:szCs w:val="24"/>
      <w:lang w:bidi="ar-SA"/>
    </w:rPr>
  </w:style>
  <w:style w:type="paragraph" w:customStyle="1" w:styleId="611">
    <w:name w:val="Normal_13_0"/>
    <w:qFormat/>
    <w:uiPriority w:val="0"/>
    <w:rPr>
      <w:rFonts w:hint="default" w:ascii="黑体" w:hAnsi="黑体" w:eastAsia="黑体" w:cs="Times New Roman"/>
      <w:b/>
      <w:sz w:val="32"/>
      <w:szCs w:val="24"/>
      <w:lang w:bidi="ar-SA"/>
    </w:rPr>
  </w:style>
  <w:style w:type="paragraph" w:customStyle="1" w:styleId="612">
    <w:name w:val="Normal_14"/>
    <w:qFormat/>
    <w:uiPriority w:val="0"/>
    <w:rPr>
      <w:rFonts w:hint="default" w:ascii="黑体" w:hAnsi="黑体" w:eastAsia="黑体" w:cs="Times New Roman"/>
      <w:b/>
      <w:sz w:val="32"/>
      <w:szCs w:val="24"/>
      <w:lang w:bidi="ar-SA"/>
    </w:rPr>
  </w:style>
  <w:style w:type="paragraph" w:customStyle="1" w:styleId="613">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4">
    <w:name w:val="正文_7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5">
    <w:name w:val="Normal_3_0"/>
    <w:qFormat/>
    <w:uiPriority w:val="0"/>
    <w:rPr>
      <w:rFonts w:hint="default" w:ascii="黑体" w:hAnsi="黑体" w:eastAsia="黑体" w:cs="Times New Roman"/>
      <w:b/>
      <w:sz w:val="32"/>
      <w:szCs w:val="24"/>
      <w:lang w:bidi="ar-SA"/>
    </w:rPr>
  </w:style>
  <w:style w:type="paragraph" w:customStyle="1" w:styleId="616">
    <w:name w:val="保密事宜格式"/>
    <w:basedOn w:val="201"/>
    <w:qFormat/>
    <w:uiPriority w:val="0"/>
    <w:pPr>
      <w:numPr>
        <w:ilvl w:val="0"/>
        <w:numId w:val="0"/>
      </w:num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lang w:bidi="ar-SA"/>
    </w:rPr>
  </w:style>
  <w:style w:type="paragraph" w:customStyle="1" w:styleId="617">
    <w:name w:val="样式 正文缩进 + (中文) 仿宋_GB2312 小四 Char"/>
    <w:basedOn w:val="200"/>
    <w:qFormat/>
    <w:uiPriority w:val="0"/>
    <w:pPr>
      <w:spacing w:line="360" w:lineRule="auto"/>
      <w:ind w:firstLine="200"/>
    </w:pPr>
    <w:rPr>
      <w:rFonts w:ascii="宋体"/>
      <w:color w:val="000000"/>
      <w:szCs w:val="24"/>
    </w:rPr>
  </w:style>
  <w:style w:type="paragraph" w:customStyle="1" w:styleId="618">
    <w:name w:val="默认段落字体 Para Char Char Char Char Char Char Char Char Char Char Char Char Char Char"/>
    <w:basedOn w:val="205"/>
    <w:qFormat/>
    <w:uiPriority w:val="0"/>
    <w:rPr>
      <w:rFonts w:ascii="Tahoma" w:hAnsi="Tahoma"/>
      <w:sz w:val="24"/>
    </w:rPr>
  </w:style>
  <w:style w:type="character" w:customStyle="1" w:styleId="619">
    <w:name w:val="font71"/>
    <w:basedOn w:val="33"/>
    <w:link w:val="1"/>
    <w:qFormat/>
    <w:uiPriority w:val="0"/>
    <w:rPr>
      <w:rFonts w:hint="eastAsia" w:ascii="宋体" w:hAnsi="宋体" w:eastAsia="宋体" w:cs="宋体"/>
      <w:color w:val="FF0000"/>
      <w:sz w:val="24"/>
      <w:szCs w:val="24"/>
      <w:u w:val="none"/>
    </w:rPr>
  </w:style>
  <w:style w:type="paragraph" w:customStyle="1" w:styleId="620">
    <w:name w:val="正文缩进1"/>
    <w:basedOn w:val="1"/>
    <w:qFormat/>
    <w:uiPriority w:val="0"/>
    <w:pPr>
      <w:ind w:firstLine="420"/>
    </w:pPr>
    <w:rPr>
      <w:szCs w:val="20"/>
    </w:rPr>
  </w:style>
  <w:style w:type="character" w:customStyle="1" w:styleId="621">
    <w:name w:val="占位符文本"/>
    <w:link w:val="1"/>
    <w:qFormat/>
    <w:uiPriority w:val="99"/>
    <w:rPr>
      <w:color w:val="808080"/>
    </w:rPr>
  </w:style>
  <w:style w:type="paragraph" w:customStyle="1" w:styleId="622">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23">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24">
    <w:name w:val="正文文本11"/>
    <w:basedOn w:val="1"/>
    <w:next w:val="1"/>
    <w:qFormat/>
    <w:uiPriority w:val="0"/>
    <w:rPr>
      <w:rFonts w:ascii="楷体_GB2312" w:hAnsi="Arial" w:eastAsia="楷体_GB2312" w:cs="Times New Roman"/>
      <w:sz w:val="28"/>
      <w:szCs w:val="28"/>
    </w:rPr>
  </w:style>
  <w:style w:type="paragraph" w:customStyle="1" w:styleId="625">
    <w:name w:val="Table Text"/>
    <w:basedOn w:val="1"/>
    <w:semiHidden/>
    <w:qFormat/>
    <w:uiPriority w:val="0"/>
    <w:rPr>
      <w:rFonts w:ascii="宋体" w:hAnsi="宋体" w:eastAsia="宋体" w:cs="宋体"/>
      <w:sz w:val="17"/>
      <w:szCs w:val="17"/>
      <w:lang w:val="en-US" w:eastAsia="en-US" w:bidi="ar-SA"/>
    </w:rPr>
  </w:style>
  <w:style w:type="table" w:customStyle="1" w:styleId="626">
    <w:name w:val="Table Normal"/>
    <w:unhideWhenUsed/>
    <w:qFormat/>
    <w:uiPriority w:val="0"/>
    <w:rPr>
      <w:lang w:val="en-US" w:eastAsia="zh-CN" w:bidi="ar-SA"/>
    </w:rPr>
  </w:style>
  <w:style w:type="character" w:customStyle="1" w:styleId="627">
    <w:name w:val="mark"/>
    <w:link w:val="1"/>
    <w:qFormat/>
    <w:uiPriority w:val="0"/>
    <w:rPr>
      <w:rFonts w:ascii="Times New Roman" w:hAnsi="Times New Roman" w:eastAsia="宋体" w:cs="Times New Roman"/>
    </w:rPr>
  </w:style>
  <w:style w:type="paragraph" w:customStyle="1" w:styleId="628">
    <w:name w:val="正文文本1"/>
    <w:basedOn w:val="1"/>
    <w:next w:val="1"/>
    <w:qFormat/>
    <w:uiPriority w:val="0"/>
    <w:rPr>
      <w:rFonts w:ascii="楷体_GB2312" w:hAnsi="Arial" w:eastAsia="楷体_GB2312"/>
      <w:sz w:val="28"/>
      <w:szCs w:val="28"/>
    </w:rPr>
  </w:style>
  <w:style w:type="character" w:customStyle="1" w:styleId="629">
    <w:name w:val="font61"/>
    <w:basedOn w:val="191"/>
    <w:link w:val="1"/>
    <w:qFormat/>
    <w:uiPriority w:val="0"/>
    <w:rPr>
      <w:rFonts w:hint="eastAsia" w:ascii="宋体" w:hAnsi="宋体" w:eastAsia="宋体" w:cs="宋体"/>
      <w:color w:val="000000"/>
      <w:sz w:val="22"/>
      <w:szCs w:val="22"/>
      <w:u w:val="none"/>
    </w:rPr>
  </w:style>
  <w:style w:type="paragraph" w:customStyle="1" w:styleId="630">
    <w:name w:val="列出段落"/>
    <w:basedOn w:val="1"/>
    <w:qFormat/>
    <w:uiPriority w:val="34"/>
    <w:pPr>
      <w:widowControl/>
      <w:ind w:left="720"/>
      <w:contextualSpacing/>
      <w:jc w:val="left"/>
    </w:pPr>
    <w:rPr>
      <w:rFonts w:ascii="Calibri" w:hAnsi="Calibri"/>
      <w:sz w:val="24"/>
      <w:szCs w:val="24"/>
      <w:lang w:eastAsia="en-US" w:bidi="en-US"/>
    </w:rPr>
  </w:style>
  <w:style w:type="paragraph" w:customStyle="1" w:styleId="631">
    <w:name w:val="正文首行缩进 21"/>
    <w:basedOn w:val="334"/>
    <w:next w:val="1"/>
    <w:qFormat/>
    <w:uiPriority w:val="0"/>
    <w:pPr>
      <w:spacing w:line="360" w:lineRule="auto"/>
      <w:ind w:firstLine="420"/>
    </w:pPr>
    <w:rPr>
      <w:rFonts w:ascii="宋体" w:hAnsi="宋体" w:eastAsia="宋体"/>
      <w:sz w:val="21"/>
      <w:szCs w:val="20"/>
    </w:rPr>
  </w:style>
  <w:style w:type="paragraph" w:customStyle="1" w:styleId="632">
    <w:name w:val="标题 11"/>
    <w:basedOn w:val="1"/>
    <w:next w:val="1"/>
    <w:qFormat/>
    <w:uiPriority w:val="0"/>
    <w:pPr>
      <w:keepNext/>
      <w:jc w:val="center"/>
      <w:outlineLvl w:val="0"/>
    </w:pPr>
    <w:rPr>
      <w:rFonts w:ascii="楷体_GB2312" w:eastAsia="楷体_GB2312"/>
      <w:sz w:val="28"/>
      <w:szCs w:val="28"/>
    </w:rPr>
  </w:style>
  <w:style w:type="paragraph" w:customStyle="1" w:styleId="633">
    <w:name w:val="文本块1"/>
    <w:basedOn w:val="1"/>
    <w:unhideWhenUsed/>
    <w:qFormat/>
    <w:uiPriority w:val="99"/>
    <w:pPr>
      <w:spacing w:after="120"/>
      <w:ind w:left="1440"/>
    </w:pPr>
    <w:rPr>
      <w:rFonts w:hint="eastAsia"/>
      <w:sz w:val="21"/>
    </w:rPr>
  </w:style>
  <w:style w:type="paragraph" w:customStyle="1" w:styleId="634">
    <w:name w:val="列出段落2"/>
    <w:basedOn w:val="1"/>
    <w:qFormat/>
    <w:uiPriority w:val="0"/>
    <w:pPr>
      <w:ind w:firstLine="42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Lenovo (Beij</Company>
  <Pages>62</Pages>
  <Words>17956</Words>
  <Characters>19483</Characters>
  <TotalTime>3</TotalTime>
  <ScaleCrop>false</ScaleCrop>
  <LinksUpToDate>false</LinksUpToDate>
  <CharactersWithSpaces>19691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2023-04-11T08:14:00Z</dcterms:created>
  <dc:creator>Adminis</dc:creator>
  <cp:lastModifiedBy>ITC</cp:lastModifiedBy>
  <dcterms:modified xsi:type="dcterms:W3CDTF">2025-10-17T07:49:45Z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eyJoZGlkIjoiYzQyMzdkOTA4NGFjNTcxZjM5YWQ3NWUxNmJiYmMzN2MifQ==</vt:lpwstr>
  </property>
  <property fmtid="{D5CDD505-2E9C-101B-9397-08002B2CF9AE}" pid="3" name="KSOProductBuildVer">
    <vt:lpwstr>2052-12.1.0.21915</vt:lpwstr>
  </property>
  <property fmtid="{D5CDD505-2E9C-101B-9397-08002B2CF9AE}" pid="4" name="ICV">
    <vt:lpwstr>E9DF6D1572E846BCAE8FF65F90D319A6_13</vt:lpwstr>
  </property>
</Properties>
</file>